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0" w:firstLineChars="0"/>
        <w:rPr>
          <w:rStyle w:val="5"/>
          <w:rFonts w:hint="eastAsia" w:asciiTheme="minorEastAsia" w:hAnsiTheme="minorEastAsia" w:eastAsiaTheme="minorEastAsia" w:cstheme="minorEastAsia"/>
          <w:b/>
          <w:bCs w:val="0"/>
          <w:color w:val="auto"/>
          <w:sz w:val="22"/>
          <w:szCs w:val="22"/>
          <w:highlight w:val="none"/>
          <w:u w:val="none"/>
          <w:lang w:val="en-US" w:eastAsia="zh-CN" w:bidi="ar"/>
        </w:rPr>
      </w:pPr>
      <w:r>
        <w:rPr>
          <w:rStyle w:val="5"/>
          <w:rFonts w:hint="eastAsia" w:asciiTheme="minorEastAsia" w:hAnsiTheme="minorEastAsia" w:eastAsiaTheme="minorEastAsia" w:cstheme="minorEastAsia"/>
          <w:b/>
          <w:bCs w:val="0"/>
          <w:color w:val="auto"/>
          <w:sz w:val="22"/>
          <w:szCs w:val="22"/>
          <w:highlight w:val="none"/>
          <w:u w:val="none"/>
          <w:lang w:val="en-US" w:eastAsia="zh-CN" w:bidi="ar"/>
        </w:rPr>
        <w:t>附表一</w:t>
      </w:r>
    </w:p>
    <w:tbl>
      <w:tblPr>
        <w:tblStyle w:val="4"/>
        <w:tblpPr w:leftFromText="180" w:rightFromText="180" w:vertAnchor="text" w:horzAnchor="page" w:tblpXSpec="center" w:tblpY="65"/>
        <w:tblOverlap w:val="never"/>
        <w:tblW w:w="8341" w:type="dxa"/>
        <w:jc w:val="center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5"/>
        <w:gridCol w:w="1719"/>
        <w:gridCol w:w="1270"/>
        <w:gridCol w:w="1098"/>
        <w:gridCol w:w="1188"/>
        <w:gridCol w:w="1138"/>
        <w:gridCol w:w="1313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7" w:hRule="atLeast"/>
          <w:jc w:val="center"/>
        </w:trPr>
        <w:tc>
          <w:tcPr>
            <w:tcW w:w="8341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auto"/>
                <w:sz w:val="24"/>
                <w:szCs w:val="24"/>
                <w:highlight w:val="none"/>
                <w:u w:val="single"/>
              </w:rPr>
            </w:pPr>
            <w:r>
              <w:rPr>
                <w:rStyle w:val="5"/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highlight w:val="none"/>
                <w:u w:val="none"/>
                <w:lang w:val="en-US" w:eastAsia="zh-CN" w:bidi="ar"/>
              </w:rPr>
              <w:t>乌家堡钢筋加工厂主要投入设备明细表（最低要求）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名称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型号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单位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数量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自有数量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18"/>
                <w:szCs w:val="18"/>
                <w:lang w:val="en-US" w:eastAsia="zh-CN" w:bidi="ar-SA"/>
              </w:rPr>
              <w:t>1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lang w:val="en-US" w:eastAsia="zh-CN"/>
              </w:rPr>
              <w:t>数控圆弧切断机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</w:pP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</w:rPr>
              <w:t>台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lang w:val="en-US" w:eastAsia="zh-CN"/>
              </w:rPr>
              <w:t>数控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</w:rPr>
              <w:t>钢筋弯箍机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</w:pP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</w:rPr>
              <w:t>台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18"/>
                <w:szCs w:val="18"/>
                <w:lang w:val="en-US" w:eastAsia="zh-CN" w:bidi="ar-SA"/>
              </w:rPr>
              <w:t>3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lang w:val="en-US" w:eastAsia="zh-CN"/>
              </w:rPr>
              <w:t>数控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</w:rPr>
              <w:t>钢筋弯曲机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</w:pP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</w:rPr>
              <w:t>台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lang w:val="en-US" w:eastAsia="zh-CN" w:bidi="ar-SA"/>
              </w:rPr>
              <w:t>1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</w:rPr>
              <w:t>全自动数控滚丝机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</w:pP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</w:rPr>
              <w:t>台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lang w:val="en-US" w:eastAsia="zh-CN" w:bidi="ar-SA"/>
              </w:rPr>
              <w:t>1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lang w:val="en-US" w:eastAsia="zh-CN"/>
              </w:rPr>
              <w:t>等离子切割机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</w:pP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lang w:val="en-US" w:eastAsia="zh-CN"/>
              </w:rPr>
              <w:t>台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</w:rPr>
              <w:t>数控钢筋调直切断机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</w:pP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</w:rPr>
              <w:t>台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</w:rPr>
              <w:t>1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18"/>
                <w:szCs w:val="18"/>
                <w:lang w:val="en-US" w:eastAsia="zh-CN"/>
              </w:rPr>
              <w:t>7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</w:rPr>
              <w:t>数控钢筋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lang w:val="en-US" w:eastAsia="zh-CN"/>
              </w:rPr>
              <w:t>滚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</w:rPr>
              <w:t>笼机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</w:pP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</w:rPr>
              <w:t>台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</w:rPr>
              <w:t>1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lang w:val="en-US" w:eastAsia="zh-CN"/>
              </w:rPr>
              <w:t>10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</w:rPr>
              <w:t>t龙门吊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</w:rPr>
              <w:t>套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FF0000"/>
                <w:kern w:val="0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lang w:val="en-US" w:eastAsia="zh-CN"/>
              </w:rPr>
              <w:t>发电机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lang w:val="en-US" w:eastAsia="zh-CN" w:bidi="ar-SA"/>
              </w:rPr>
              <w:t>200KW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lang w:val="en-US" w:eastAsia="zh-CN"/>
              </w:rPr>
              <w:t>台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</w:tr>
    </w:tbl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0" w:firstLineChars="0"/>
        <w:rPr>
          <w:rStyle w:val="5"/>
          <w:rFonts w:hint="eastAsia" w:asciiTheme="minorEastAsia" w:hAnsiTheme="minorEastAsia" w:eastAsiaTheme="minorEastAsia" w:cstheme="minorEastAsia"/>
          <w:b/>
          <w:bCs w:val="0"/>
          <w:color w:val="auto"/>
          <w:sz w:val="21"/>
          <w:szCs w:val="21"/>
          <w:highlight w:val="none"/>
          <w:u w:val="none"/>
          <w:lang w:val="en-US" w:eastAsia="zh-CN" w:bidi="ar"/>
        </w:rPr>
      </w:pPr>
      <w:r>
        <w:rPr>
          <w:rStyle w:val="5"/>
          <w:rFonts w:hint="eastAsia" w:asciiTheme="minorEastAsia" w:hAnsiTheme="minorEastAsia" w:eastAsiaTheme="minorEastAsia" w:cstheme="minorEastAsia"/>
          <w:b/>
          <w:bCs w:val="0"/>
          <w:color w:val="auto"/>
          <w:sz w:val="21"/>
          <w:szCs w:val="21"/>
          <w:highlight w:val="none"/>
          <w:u w:val="none"/>
          <w:lang w:val="en-US" w:eastAsia="zh-CN" w:bidi="ar"/>
        </w:rPr>
        <w:t>注：</w:t>
      </w:r>
      <w:r>
        <w:rPr>
          <w:rFonts w:hint="eastAsia" w:asciiTheme="minorEastAsia" w:hAnsiTheme="minorEastAsia" w:eastAsiaTheme="minorEastAsia" w:cstheme="minorEastAsia"/>
          <w:b/>
          <w:bCs w:val="0"/>
          <w:i w:val="0"/>
          <w:color w:val="auto"/>
          <w:kern w:val="0"/>
          <w:sz w:val="21"/>
          <w:szCs w:val="21"/>
          <w:highlight w:val="none"/>
          <w:u w:val="none"/>
          <w:lang w:val="en-US" w:eastAsia="zh-CN" w:bidi="ar"/>
        </w:rPr>
        <w:t>设备需具备施工能力满足实际施工需要，主要设备必须为自有设备（以购买发票或公证机关出具的公证书为准）。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0" w:firstLineChars="0"/>
        <w:rPr>
          <w:rStyle w:val="5"/>
          <w:rFonts w:hint="eastAsia" w:asciiTheme="minorEastAsia" w:hAnsiTheme="minorEastAsia" w:eastAsiaTheme="minorEastAsia" w:cstheme="minorEastAsia"/>
          <w:b w:val="0"/>
          <w:bCs/>
          <w:color w:val="auto"/>
          <w:sz w:val="16"/>
          <w:szCs w:val="16"/>
          <w:highlight w:val="none"/>
          <w:u w:val="none"/>
          <w:lang w:val="en-US" w:eastAsia="zh-CN" w:bidi="ar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rPr>
          <w:rStyle w:val="5"/>
          <w:rFonts w:hint="eastAsia" w:asciiTheme="minorEastAsia" w:hAnsiTheme="minorEastAsia" w:eastAsiaTheme="minorEastAsia" w:cstheme="minorEastAsia"/>
          <w:b/>
          <w:bCs/>
          <w:color w:val="auto"/>
          <w:sz w:val="22"/>
          <w:szCs w:val="22"/>
          <w:highlight w:val="none"/>
          <w:u w:val="none"/>
          <w:lang w:val="en-US" w:eastAsia="zh-CN" w:bidi="ar"/>
        </w:rPr>
      </w:pPr>
      <w:r>
        <w:rPr>
          <w:rStyle w:val="5"/>
          <w:rFonts w:hint="eastAsia" w:asciiTheme="minorEastAsia" w:hAnsiTheme="minorEastAsia" w:eastAsiaTheme="minorEastAsia" w:cstheme="minorEastAsia"/>
          <w:b/>
          <w:bCs/>
          <w:color w:val="auto"/>
          <w:sz w:val="22"/>
          <w:szCs w:val="22"/>
          <w:highlight w:val="none"/>
          <w:u w:val="none"/>
          <w:lang w:val="en-US" w:eastAsia="zh-CN" w:bidi="ar"/>
        </w:rPr>
        <w:br w:type="page"/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rPr>
          <w:rStyle w:val="5"/>
          <w:rFonts w:hint="eastAsia" w:asciiTheme="minorEastAsia" w:hAnsiTheme="minorEastAsia" w:eastAsiaTheme="minorEastAsia" w:cstheme="minorEastAsia"/>
          <w:b/>
          <w:bCs/>
          <w:color w:val="auto"/>
          <w:sz w:val="22"/>
          <w:szCs w:val="22"/>
          <w:highlight w:val="none"/>
          <w:u w:val="none"/>
          <w:lang w:val="en-US" w:eastAsia="zh-CN" w:bidi="ar"/>
        </w:rPr>
      </w:pPr>
      <w:r>
        <w:rPr>
          <w:rStyle w:val="5"/>
          <w:rFonts w:hint="eastAsia" w:asciiTheme="minorEastAsia" w:hAnsiTheme="minorEastAsia" w:eastAsiaTheme="minorEastAsia" w:cstheme="minorEastAsia"/>
          <w:b/>
          <w:bCs/>
          <w:color w:val="auto"/>
          <w:sz w:val="22"/>
          <w:szCs w:val="22"/>
          <w:highlight w:val="none"/>
          <w:u w:val="none"/>
          <w:lang w:val="en-US" w:eastAsia="zh-CN" w:bidi="ar"/>
        </w:rPr>
        <w:t>附表二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rPr>
          <w:rFonts w:hint="eastAsia" w:asciiTheme="minorEastAsia" w:hAnsiTheme="minorEastAsia" w:eastAsiaTheme="minorEastAsia" w:cstheme="minorEastAsia"/>
          <w:color w:val="auto"/>
          <w:sz w:val="22"/>
          <w:szCs w:val="22"/>
          <w:highlight w:val="none"/>
        </w:rPr>
      </w:pPr>
      <w:r>
        <w:rPr>
          <w:rStyle w:val="5"/>
          <w:rFonts w:hint="eastAsia" w:asciiTheme="minorEastAsia" w:hAnsiTheme="minorEastAsia" w:eastAsiaTheme="minorEastAsia" w:cstheme="minorEastAsia"/>
          <w:color w:val="auto"/>
          <w:sz w:val="22"/>
          <w:szCs w:val="22"/>
          <w:highlight w:val="none"/>
          <w:u w:val="none"/>
          <w:lang w:val="en-US" w:eastAsia="zh-CN" w:bidi="ar"/>
        </w:rPr>
        <w:t>钢筋加工厂投入人员明细表（最低要求）</w:t>
      </w:r>
    </w:p>
    <w:tbl>
      <w:tblPr>
        <w:tblStyle w:val="4"/>
        <w:tblW w:w="8176" w:type="dxa"/>
        <w:jc w:val="center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3"/>
        <w:gridCol w:w="1614"/>
        <w:gridCol w:w="1269"/>
        <w:gridCol w:w="773"/>
        <w:gridCol w:w="3647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  <w:jc w:val="center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工 种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工作任务</w:t>
            </w: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人数</w:t>
            </w:r>
          </w:p>
        </w:tc>
        <w:tc>
          <w:tcPr>
            <w:tcW w:w="3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1" w:hRule="atLeast"/>
          <w:jc w:val="center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项目负责人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生产管理</w:t>
            </w: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3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有一个及以上类似施工管理经验。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7" w:hRule="atLeast"/>
          <w:jc w:val="center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项目技术负责人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技术管理</w:t>
            </w: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3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中专及以上学历，有一个及以上类似施工管理经验。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6" w:hRule="atLeast"/>
          <w:jc w:val="center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安全负责人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安全管理</w:t>
            </w: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3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一个及以上类似工程安全管理经验，具有主管部门（交通部或住建部）颁发的安全员C级资格证书。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rPr>
          <w:rStyle w:val="5"/>
          <w:rFonts w:hint="eastAsia" w:asciiTheme="minorEastAsia" w:hAnsiTheme="minorEastAsia" w:eastAsiaTheme="minorEastAsia" w:cstheme="minorEastAsia"/>
          <w:b/>
          <w:bCs w:val="0"/>
          <w:color w:val="auto"/>
          <w:kern w:val="0"/>
          <w:sz w:val="21"/>
          <w:szCs w:val="21"/>
          <w:highlight w:val="none"/>
          <w:lang w:val="en-US" w:eastAsia="zh-CN" w:bidi="ar"/>
        </w:rPr>
      </w:pPr>
      <w:r>
        <w:rPr>
          <w:rStyle w:val="5"/>
          <w:rFonts w:hint="eastAsia" w:asciiTheme="minorEastAsia" w:hAnsiTheme="minorEastAsia" w:eastAsiaTheme="minorEastAsia" w:cstheme="minorEastAsia"/>
          <w:b/>
          <w:bCs w:val="0"/>
          <w:color w:val="auto"/>
          <w:kern w:val="0"/>
          <w:sz w:val="21"/>
          <w:szCs w:val="21"/>
          <w:highlight w:val="none"/>
          <w:lang w:val="en-US" w:eastAsia="zh-CN" w:bidi="ar"/>
        </w:rPr>
        <w:t xml:space="preserve">注：1、本表为主要人员的最低要求，投标人应根据施工需要或招标人的要求增加相关专业技术人员。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rPr>
          <w:rStyle w:val="5"/>
          <w:rFonts w:hint="eastAsia" w:asciiTheme="minorEastAsia" w:hAnsiTheme="minorEastAsia" w:eastAsiaTheme="minorEastAsia" w:cstheme="minorEastAsia"/>
          <w:b/>
          <w:bCs w:val="0"/>
          <w:color w:val="auto"/>
          <w:kern w:val="0"/>
          <w:sz w:val="21"/>
          <w:szCs w:val="21"/>
          <w:highlight w:val="none"/>
          <w:lang w:val="en-US" w:eastAsia="zh-CN" w:bidi="ar"/>
        </w:rPr>
      </w:pPr>
      <w:r>
        <w:rPr>
          <w:rStyle w:val="5"/>
          <w:rFonts w:hint="eastAsia" w:asciiTheme="minorEastAsia" w:hAnsiTheme="minorEastAsia" w:eastAsiaTheme="minorEastAsia" w:cstheme="minorEastAsia"/>
          <w:b/>
          <w:bCs w:val="0"/>
          <w:color w:val="auto"/>
          <w:kern w:val="0"/>
          <w:sz w:val="21"/>
          <w:szCs w:val="21"/>
          <w:highlight w:val="none"/>
          <w:lang w:val="en-US" w:eastAsia="zh-CN" w:bidi="ar"/>
        </w:rPr>
        <w:t>2、如因投标人的原因(除不可抗拒因素外)更换上述主要人员，须报请招标人批准，更换人员的资质不能低于招标文件要求，自行更换主要负责人的，对投标人按每人次课以50万元人民币违约金。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rPr>
          <w:rStyle w:val="5"/>
          <w:rFonts w:hint="eastAsia" w:asciiTheme="minorEastAsia" w:hAnsiTheme="minorEastAsia" w:eastAsiaTheme="minorEastAsia" w:cstheme="minorEastAsia"/>
          <w:b/>
          <w:bCs w:val="0"/>
          <w:color w:val="auto"/>
          <w:kern w:val="0"/>
          <w:sz w:val="21"/>
          <w:szCs w:val="21"/>
          <w:highlight w:val="none"/>
          <w:lang w:val="en-US" w:eastAsia="zh-CN" w:bidi="ar"/>
        </w:rPr>
      </w:pPr>
      <w:r>
        <w:rPr>
          <w:rStyle w:val="5"/>
          <w:rFonts w:hint="eastAsia" w:asciiTheme="minorEastAsia" w:hAnsiTheme="minorEastAsia" w:eastAsiaTheme="minorEastAsia" w:cstheme="minorEastAsia"/>
          <w:b/>
          <w:bCs w:val="0"/>
          <w:color w:val="auto"/>
          <w:kern w:val="0"/>
          <w:sz w:val="21"/>
          <w:szCs w:val="21"/>
          <w:highlight w:val="none"/>
          <w:lang w:val="en-US" w:eastAsia="zh-CN" w:bidi="ar"/>
        </w:rPr>
        <w:t>3、相关管理人员及技术人员必须在岗，有特殊情况离岗必须向项目部请假并得到批准。</w:t>
      </w:r>
    </w:p>
    <w:p>
      <w:pPr>
        <w:pStyle w:val="6"/>
        <w:keepNext w:val="0"/>
        <w:keepLines w:val="0"/>
        <w:pageBreakBefore w:val="0"/>
        <w:tabs>
          <w:tab w:val="right" w:leader="do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rPr>
          <w:rFonts w:hint="eastAsia" w:asciiTheme="minorEastAsia" w:hAnsiTheme="minorEastAsia" w:eastAsiaTheme="minorEastAsia" w:cstheme="minorEastAsia"/>
          <w:b/>
          <w:bCs/>
          <w:color w:val="auto"/>
          <w:sz w:val="44"/>
          <w:szCs w:val="44"/>
          <w:highlight w:val="none"/>
          <w:lang w:bidi="zh-CN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1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icrosoft JhengHei">
    <w:panose1 w:val="020B0604030504040204"/>
    <w:charset w:val="88"/>
    <w:family w:val="swiss"/>
    <w:pitch w:val="default"/>
    <w:sig w:usb0="00000087" w:usb1="28AF4000" w:usb2="00000016" w:usb3="00000000" w:csb0="00100009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楷体简体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魏碑简体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AE4F7A"/>
    <w:rsid w:val="0EAE4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2"/>
    <w:basedOn w:val="1"/>
    <w:qFormat/>
    <w:uiPriority w:val="0"/>
    <w:pPr>
      <w:spacing w:line="240" w:lineRule="auto"/>
      <w:ind w:firstLine="570" w:firstLineChars="0"/>
    </w:pPr>
    <w:rPr>
      <w:rFonts w:ascii="仿宋" w:hAnsi="仿宋" w:eastAsia="仿宋"/>
      <w:kern w:val="0"/>
      <w:sz w:val="20"/>
    </w:rPr>
  </w:style>
  <w:style w:type="character" w:customStyle="1" w:styleId="5">
    <w:name w:val="font11"/>
    <w:basedOn w:val="3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paragraph" w:customStyle="1" w:styleId="6">
    <w:name w:val="WPSOffice手动目录 1"/>
    <w:qFormat/>
    <w:uiPriority w:val="0"/>
    <w:rPr>
      <w:rFonts w:ascii="Times New Roman" w:hAnsi="Times New Roman" w:eastAsia="宋体" w:cs="Times New Roman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交投建设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Office_10.8.0.6423_F1E327BC-269C-435d-A152-05C5408002CA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2020-11-27T08:24:00Z</dcterms:created>
  <dc:creator>钟明娟</dc:creator>
  <cp:lastModifiedBy>钟明娟</cp:lastModifiedBy>
  <dcterms:modified xsi:type="dcterms:W3CDTF">2020-11-27T08:25:05Z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2052-10.8.0.6423</vt:lpwstr>
  </property>
</Properties>
</file>