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240" w:lineRule="auto"/>
        <w:jc w:val="left"/>
        <w:rPr>
          <w:rFonts w:hint="eastAsia" w:ascii="宋体" w:hAnsi="宋体" w:eastAsia="宋体" w:cs="宋体"/>
          <w:b/>
          <w:i w:val="0"/>
          <w:color w:val="auto"/>
          <w:kern w:val="0"/>
          <w:sz w:val="28"/>
          <w:szCs w:val="28"/>
          <w:highlight w:val="none"/>
          <w:u w:val="none"/>
          <w:lang w:val="en-US" w:eastAsia="zh-CN"/>
        </w:rPr>
      </w:pPr>
      <w:r>
        <w:rPr>
          <w:rFonts w:hint="eastAsia" w:ascii="宋体" w:hAnsi="宋体" w:eastAsia="宋体" w:cs="宋体"/>
          <w:b/>
          <w:i w:val="0"/>
          <w:color w:val="auto"/>
          <w:kern w:val="0"/>
          <w:sz w:val="28"/>
          <w:szCs w:val="28"/>
          <w:highlight w:val="none"/>
          <w:u w:val="none"/>
          <w:lang w:val="en-US" w:eastAsia="zh-CN" w:bidi="ar"/>
        </w:rPr>
        <w:t>附表一</w:t>
      </w:r>
      <w:bookmarkStart w:id="0" w:name="_Toc22287"/>
    </w:p>
    <w:p>
      <w:pPr>
        <w:keepNext w:val="0"/>
        <w:keepLines w:val="0"/>
        <w:widowControl/>
        <w:suppressLineNumbers w:val="0"/>
        <w:jc w:val="center"/>
        <w:textAlignment w:val="center"/>
        <w:rPr>
          <w:rFonts w:hint="eastAsia" w:ascii="仿宋" w:hAnsi="仿宋" w:eastAsia="仿宋" w:cs="仿宋"/>
          <w:b/>
          <w:i w:val="0"/>
          <w:color w:val="auto"/>
          <w:kern w:val="0"/>
          <w:sz w:val="32"/>
          <w:szCs w:val="32"/>
          <w:highlight w:val="none"/>
          <w:u w:val="none"/>
          <w:lang w:val="en-US" w:eastAsia="zh-CN"/>
        </w:rPr>
      </w:pPr>
      <w:r>
        <w:rPr>
          <w:rFonts w:hint="eastAsia" w:ascii="仿宋" w:hAnsi="仿宋" w:eastAsia="仿宋" w:cs="仿宋"/>
          <w:b/>
          <w:i w:val="0"/>
          <w:color w:val="auto"/>
          <w:kern w:val="0"/>
          <w:sz w:val="32"/>
          <w:szCs w:val="32"/>
          <w:highlight w:val="none"/>
          <w:u w:val="none"/>
          <w:lang w:val="en-US" w:eastAsia="zh-CN"/>
        </w:rPr>
        <w:t>南充至成都高速公路扩容工程成都入城复线段土建施工LJ2-1-5分段</w:t>
      </w:r>
    </w:p>
    <w:p>
      <w:pPr>
        <w:wordWrap/>
        <w:spacing w:line="360" w:lineRule="auto"/>
        <w:jc w:val="center"/>
        <w:rPr>
          <w:rFonts w:hint="eastAsia" w:ascii="宋体" w:hAnsi="宋体" w:eastAsia="宋体" w:cs="宋体"/>
          <w:b/>
          <w:i w:val="0"/>
          <w:color w:val="auto"/>
          <w:kern w:val="0"/>
          <w:sz w:val="28"/>
          <w:szCs w:val="28"/>
          <w:highlight w:val="none"/>
          <w:u w:val="none"/>
          <w:lang w:val="en-US" w:eastAsia="zh-CN"/>
        </w:rPr>
      </w:pPr>
      <w:r>
        <w:rPr>
          <w:rFonts w:hint="eastAsia" w:ascii="仿宋" w:hAnsi="仿宋" w:eastAsia="仿宋" w:cs="仿宋"/>
          <w:b/>
          <w:i w:val="0"/>
          <w:color w:val="auto"/>
          <w:kern w:val="0"/>
          <w:sz w:val="32"/>
          <w:szCs w:val="32"/>
          <w:highlight w:val="none"/>
          <w:u w:val="none"/>
          <w:lang w:val="en-US" w:eastAsia="zh-CN"/>
        </w:rPr>
        <w:t>施工分包（钢箱梁）工程规模、工期统计表</w:t>
      </w:r>
    </w:p>
    <w:tbl>
      <w:tblPr>
        <w:tblStyle w:val="6"/>
        <w:tblpPr w:leftFromText="180" w:rightFromText="180" w:vertAnchor="text" w:horzAnchor="page" w:tblpX="1219" w:tblpY="131"/>
        <w:tblOverlap w:val="never"/>
        <w:tblW w:w="12742" w:type="dxa"/>
        <w:tblInd w:w="0" w:type="dxa"/>
        <w:shd w:val="clear" w:color="auto" w:fill="auto"/>
        <w:tblLayout w:type="fixed"/>
        <w:tblCellMar>
          <w:top w:w="0" w:type="dxa"/>
          <w:left w:w="0" w:type="dxa"/>
          <w:bottom w:w="0" w:type="dxa"/>
          <w:right w:w="0" w:type="dxa"/>
        </w:tblCellMar>
      </w:tblPr>
      <w:tblGrid>
        <w:gridCol w:w="891"/>
        <w:gridCol w:w="1739"/>
        <w:gridCol w:w="2013"/>
        <w:gridCol w:w="1659"/>
        <w:gridCol w:w="2364"/>
        <w:gridCol w:w="2115"/>
        <w:gridCol w:w="1961"/>
      </w:tblGrid>
      <w:tr>
        <w:tblPrEx>
          <w:shd w:val="clear" w:color="auto" w:fill="auto"/>
          <w:tblLayout w:type="fixed"/>
          <w:tblCellMar>
            <w:top w:w="0" w:type="dxa"/>
            <w:left w:w="0" w:type="dxa"/>
            <w:bottom w:w="0" w:type="dxa"/>
            <w:right w:w="0" w:type="dxa"/>
          </w:tblCellMar>
        </w:tblPrEx>
        <w:trPr>
          <w:trHeight w:val="829" w:hRule="atLeast"/>
        </w:trPr>
        <w:tc>
          <w:tcPr>
            <w:tcW w:w="891"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序号</w:t>
            </w:r>
          </w:p>
        </w:tc>
        <w:tc>
          <w:tcPr>
            <w:tcW w:w="1739"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分段</w:t>
            </w:r>
            <w:r>
              <w:rPr>
                <w:rFonts w:hint="eastAsia" w:ascii="宋体" w:hAnsi="宋体" w:cs="宋体"/>
                <w:i w:val="0"/>
                <w:color w:val="auto"/>
                <w:kern w:val="0"/>
                <w:sz w:val="24"/>
                <w:szCs w:val="24"/>
                <w:highlight w:val="none"/>
                <w:u w:val="none"/>
                <w:lang w:val="en-US" w:eastAsia="zh-CN"/>
              </w:rPr>
              <w:t>名称</w:t>
            </w:r>
          </w:p>
        </w:tc>
        <w:tc>
          <w:tcPr>
            <w:tcW w:w="2013"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里程段落</w:t>
            </w:r>
          </w:p>
        </w:tc>
        <w:tc>
          <w:tcPr>
            <w:tcW w:w="1659"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长度（m）</w:t>
            </w:r>
          </w:p>
        </w:tc>
        <w:tc>
          <w:tcPr>
            <w:tcW w:w="23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工作内容</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rPr>
            </w:pPr>
            <w:r>
              <w:rPr>
                <w:rFonts w:hint="eastAsia" w:ascii="宋体" w:hAnsi="宋体" w:eastAsia="宋体" w:cs="宋体"/>
                <w:i w:val="0"/>
                <w:color w:val="auto"/>
                <w:kern w:val="0"/>
                <w:sz w:val="24"/>
                <w:szCs w:val="24"/>
                <w:highlight w:val="none"/>
                <w:u w:val="none"/>
                <w:lang w:val="en-US" w:eastAsia="zh-CN"/>
              </w:rPr>
              <w:t>工期（月）</w:t>
            </w:r>
          </w:p>
        </w:tc>
        <w:tc>
          <w:tcPr>
            <w:tcW w:w="1961"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default" w:ascii="宋体" w:hAnsi="宋体" w:eastAsia="宋体" w:cs="宋体"/>
                <w:b w:val="0"/>
                <w:bCs w:val="0"/>
                <w:color w:val="auto"/>
                <w:kern w:val="0"/>
                <w:sz w:val="24"/>
                <w:szCs w:val="24"/>
                <w:highlight w:val="none"/>
                <w:u w:val="none"/>
                <w:lang w:val="en-US" w:eastAsia="zh-CN"/>
              </w:rPr>
            </w:pPr>
            <w:r>
              <w:rPr>
                <w:rFonts w:hint="eastAsia" w:ascii="宋体" w:hAnsi="宋体" w:cs="宋体"/>
                <w:b w:val="0"/>
                <w:bCs w:val="0"/>
                <w:color w:val="auto"/>
                <w:kern w:val="0"/>
                <w:sz w:val="24"/>
                <w:szCs w:val="24"/>
                <w:highlight w:val="none"/>
                <w:u w:val="none"/>
                <w:lang w:val="en-US" w:eastAsia="zh-CN"/>
              </w:rPr>
              <w:t>备注</w:t>
            </w:r>
          </w:p>
        </w:tc>
      </w:tr>
      <w:tr>
        <w:tblPrEx>
          <w:tblLayout w:type="fixed"/>
          <w:tblCellMar>
            <w:top w:w="0" w:type="dxa"/>
            <w:left w:w="0" w:type="dxa"/>
            <w:bottom w:w="0" w:type="dxa"/>
            <w:right w:w="0" w:type="dxa"/>
          </w:tblCellMar>
        </w:tblPrEx>
        <w:trPr>
          <w:trHeight w:val="451" w:hRule="atLeast"/>
        </w:trPr>
        <w:tc>
          <w:tcPr>
            <w:tcW w:w="891"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1739"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013"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1659"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36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rPr>
            </w:pPr>
            <w:r>
              <w:rPr>
                <w:rFonts w:hint="eastAsia" w:ascii="宋体" w:hAnsi="宋体" w:cs="宋体"/>
                <w:i w:val="0"/>
                <w:color w:val="auto"/>
                <w:kern w:val="0"/>
                <w:sz w:val="24"/>
                <w:szCs w:val="24"/>
                <w:highlight w:val="none"/>
                <w:u w:val="none"/>
                <w:lang w:val="en-US" w:eastAsia="zh-CN"/>
              </w:rPr>
              <w:t>桥梁</w:t>
            </w:r>
          </w:p>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rPr>
            </w:pPr>
          </w:p>
        </w:tc>
        <w:tc>
          <w:tcPr>
            <w:tcW w:w="2115"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val="en-US" w:eastAsia="zh-CN"/>
              </w:rPr>
            </w:pPr>
          </w:p>
        </w:tc>
        <w:tc>
          <w:tcPr>
            <w:tcW w:w="1961"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cs="宋体"/>
                <w:b w:val="0"/>
                <w:bCs w:val="0"/>
                <w:color w:val="auto"/>
                <w:kern w:val="0"/>
                <w:sz w:val="24"/>
                <w:szCs w:val="24"/>
                <w:highlight w:val="none"/>
                <w:u w:val="none"/>
                <w:lang w:val="en-US" w:eastAsia="zh-CN"/>
              </w:rPr>
            </w:pPr>
          </w:p>
        </w:tc>
      </w:tr>
      <w:tr>
        <w:tblPrEx>
          <w:tblLayout w:type="fixed"/>
          <w:tblCellMar>
            <w:top w:w="0" w:type="dxa"/>
            <w:left w:w="0" w:type="dxa"/>
            <w:bottom w:w="0" w:type="dxa"/>
            <w:right w:w="0" w:type="dxa"/>
          </w:tblCellMar>
        </w:tblPrEx>
        <w:trPr>
          <w:trHeight w:val="1668" w:hRule="atLeast"/>
        </w:trPr>
        <w:tc>
          <w:tcPr>
            <w:tcW w:w="89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1</w:t>
            </w:r>
          </w:p>
        </w:tc>
        <w:tc>
          <w:tcPr>
            <w:tcW w:w="1739"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r>
              <w:rPr>
                <w:rFonts w:hint="eastAsia" w:ascii="宋体" w:hAnsi="宋体" w:cs="宋体"/>
                <w:i w:val="0"/>
                <w:color w:val="auto"/>
                <w:kern w:val="0"/>
                <w:sz w:val="24"/>
                <w:szCs w:val="24"/>
                <w:highlight w:val="none"/>
                <w:u w:val="none"/>
                <w:lang w:val="en-US" w:eastAsia="zh-CN"/>
              </w:rPr>
              <w:t>LJ2-1-5分段</w:t>
            </w:r>
          </w:p>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K11+268-K11+358</w:t>
            </w:r>
          </w:p>
        </w:tc>
        <w:tc>
          <w:tcPr>
            <w:tcW w:w="165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1"/>
                <w:szCs w:val="21"/>
                <w:highlight w:val="none"/>
                <w:u w:val="none"/>
                <w:lang w:val="en-US" w:eastAsia="zh-CN" w:bidi="ar"/>
              </w:rPr>
              <w:t>45+45</w:t>
            </w:r>
          </w:p>
        </w:tc>
        <w:tc>
          <w:tcPr>
            <w:tcW w:w="2364"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jc w:val="center"/>
              <w:rPr>
                <w:rFonts w:hint="eastAsia" w:ascii="宋体" w:hAnsi="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钢箱梁的制作、运输及安装。</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初步拟定6个月，具体时间以项目工期时间为准。</w:t>
            </w:r>
          </w:p>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196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r>
        <w:tblPrEx>
          <w:tblLayout w:type="fixed"/>
          <w:tblCellMar>
            <w:top w:w="0" w:type="dxa"/>
            <w:left w:w="0" w:type="dxa"/>
            <w:bottom w:w="0" w:type="dxa"/>
            <w:right w:w="0" w:type="dxa"/>
          </w:tblCellMar>
        </w:tblPrEx>
        <w:trPr>
          <w:trHeight w:val="1174" w:hRule="atLeast"/>
        </w:trPr>
        <w:tc>
          <w:tcPr>
            <w:tcW w:w="89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2</w:t>
            </w:r>
          </w:p>
        </w:tc>
        <w:tc>
          <w:tcPr>
            <w:tcW w:w="1739" w:type="dxa"/>
            <w:vMerge w:val="continue"/>
            <w:tcBorders>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K14+553-K14+598</w:t>
            </w:r>
          </w:p>
        </w:tc>
        <w:tc>
          <w:tcPr>
            <w:tcW w:w="165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45</w:t>
            </w:r>
          </w:p>
        </w:tc>
        <w:tc>
          <w:tcPr>
            <w:tcW w:w="2364" w:type="dxa"/>
            <w:vMerge w:val="continue"/>
            <w:tcBorders>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continue"/>
            <w:tcBorders>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196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r>
        <w:tblPrEx>
          <w:tblLayout w:type="fixed"/>
          <w:tblCellMar>
            <w:top w:w="0" w:type="dxa"/>
            <w:left w:w="0" w:type="dxa"/>
            <w:bottom w:w="0" w:type="dxa"/>
            <w:right w:w="0" w:type="dxa"/>
          </w:tblCellMar>
        </w:tblPrEx>
        <w:trPr>
          <w:trHeight w:val="1280" w:hRule="atLeast"/>
        </w:trPr>
        <w:tc>
          <w:tcPr>
            <w:tcW w:w="89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3</w:t>
            </w:r>
          </w:p>
        </w:tc>
        <w:tc>
          <w:tcPr>
            <w:tcW w:w="1739" w:type="dxa"/>
            <w:vMerge w:val="continue"/>
            <w:tcBorders>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YK15+043-YK15+143</w:t>
            </w:r>
          </w:p>
        </w:tc>
        <w:tc>
          <w:tcPr>
            <w:tcW w:w="165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60</w:t>
            </w:r>
          </w:p>
        </w:tc>
        <w:tc>
          <w:tcPr>
            <w:tcW w:w="2364" w:type="dxa"/>
            <w:vMerge w:val="continue"/>
            <w:tcBorders>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continue"/>
            <w:tcBorders>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196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r>
        <w:tblPrEx>
          <w:tblLayout w:type="fixed"/>
          <w:tblCellMar>
            <w:top w:w="0" w:type="dxa"/>
            <w:left w:w="0" w:type="dxa"/>
            <w:bottom w:w="0" w:type="dxa"/>
            <w:right w:w="0" w:type="dxa"/>
          </w:tblCellMar>
        </w:tblPrEx>
        <w:trPr>
          <w:trHeight w:val="1240" w:hRule="atLeast"/>
        </w:trPr>
        <w:tc>
          <w:tcPr>
            <w:tcW w:w="89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4</w:t>
            </w:r>
          </w:p>
        </w:tc>
        <w:tc>
          <w:tcPr>
            <w:tcW w:w="1739"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K15+043-K15+143</w:t>
            </w:r>
          </w:p>
        </w:tc>
        <w:tc>
          <w:tcPr>
            <w:tcW w:w="1659"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60</w:t>
            </w:r>
          </w:p>
        </w:tc>
        <w:tc>
          <w:tcPr>
            <w:tcW w:w="2364"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196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bl>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pStyle w:val="2"/>
        <w:rPr>
          <w:rFonts w:hint="eastAsia"/>
          <w:color w:val="auto"/>
          <w:highlight w:val="none"/>
          <w:lang w:val="en-US" w:eastAsia="zh-CN"/>
        </w:rPr>
      </w:pPr>
    </w:p>
    <w:p>
      <w:pPr>
        <w:rPr>
          <w:rFonts w:hint="default"/>
          <w:color w:val="auto"/>
          <w:highlight w:val="none"/>
          <w:lang w:val="en-US" w:eastAsia="zh-CN"/>
        </w:rPr>
      </w:pPr>
      <w:r>
        <w:rPr>
          <w:rFonts w:hint="eastAsia" w:ascii="宋体" w:hAnsi="宋体" w:cs="宋体"/>
          <w:b/>
          <w:color w:val="auto"/>
          <w:sz w:val="28"/>
          <w:szCs w:val="28"/>
          <w:highlight w:val="none"/>
          <w:lang w:val="en-US" w:eastAsia="zh-CN"/>
        </w:rPr>
        <w:t>备注：开工时间以项目部下发的文件为准。</w:t>
      </w: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widowControl/>
        <w:ind w:firstLine="0"/>
        <w:jc w:val="center"/>
        <w:textAlignment w:val="center"/>
        <w:rPr>
          <w:rFonts w:hint="eastAsia" w:ascii="仿宋" w:hAnsi="仿宋" w:eastAsia="仿宋" w:cs="仿宋"/>
          <w:b/>
          <w:i w:val="0"/>
          <w:color w:val="auto"/>
          <w:kern w:val="0"/>
          <w:sz w:val="32"/>
          <w:szCs w:val="32"/>
          <w:highlight w:val="none"/>
          <w:u w:val="none"/>
          <w:lang w:val="en-US" w:eastAsia="zh-CN" w:bidi="ar"/>
        </w:rPr>
      </w:pPr>
    </w:p>
    <w:p>
      <w:pPr>
        <w:widowControl/>
        <w:ind w:firstLine="0"/>
        <w:jc w:val="center"/>
        <w:textAlignment w:val="center"/>
        <w:rPr>
          <w:rFonts w:hint="default"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南充至成都高速公路扩容工程成都入城复线段土建施工LJ2-1-5分段钢箱梁施工分包</w:t>
      </w:r>
    </w:p>
    <w:p>
      <w:pPr>
        <w:widowControl/>
        <w:ind w:firstLine="0"/>
        <w:jc w:val="center"/>
        <w:textAlignment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pStyle w:val="2"/>
        <w:ind w:firstLine="0"/>
        <w:jc w:val="center"/>
        <w:rPr>
          <w:rFonts w:hint="eastAsia" w:cs="仿宋"/>
          <w:b/>
          <w:bCs/>
          <w:color w:val="auto"/>
          <w:sz w:val="32"/>
          <w:szCs w:val="32"/>
          <w:highlight w:val="none"/>
        </w:rPr>
      </w:pPr>
    </w:p>
    <w:tbl>
      <w:tblPr>
        <w:tblStyle w:val="6"/>
        <w:tblW w:w="13615" w:type="dxa"/>
        <w:tblInd w:w="0" w:type="dxa"/>
        <w:tblLayout w:type="fixed"/>
        <w:tblCellMar>
          <w:top w:w="0" w:type="dxa"/>
          <w:left w:w="0" w:type="dxa"/>
          <w:bottom w:w="0" w:type="dxa"/>
          <w:right w:w="0" w:type="dxa"/>
        </w:tblCellMar>
      </w:tblPr>
      <w:tblGrid>
        <w:gridCol w:w="904"/>
        <w:gridCol w:w="2700"/>
        <w:gridCol w:w="2052"/>
        <w:gridCol w:w="2835"/>
        <w:gridCol w:w="3552"/>
        <w:gridCol w:w="1572"/>
      </w:tblGrid>
      <w:tr>
        <w:tblPrEx>
          <w:tblLayout w:type="fixed"/>
          <w:tblCellMar>
            <w:top w:w="0" w:type="dxa"/>
            <w:left w:w="0" w:type="dxa"/>
            <w:bottom w:w="0" w:type="dxa"/>
            <w:right w:w="0" w:type="dxa"/>
          </w:tblCellMar>
        </w:tblPrEx>
        <w:trPr>
          <w:trHeight w:val="90"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eastAsia="zh-CN" w:bidi="ar"/>
              </w:rPr>
              <w:t>标段名称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color w:val="auto"/>
                <w:sz w:val="24"/>
                <w:szCs w:val="24"/>
                <w:highlight w:val="none"/>
              </w:rPr>
            </w:pPr>
            <w:r>
              <w:rPr>
                <w:rFonts w:hint="eastAsia"/>
                <w:color w:val="auto"/>
                <w:sz w:val="24"/>
                <w:szCs w:val="24"/>
                <w:highlight w:val="none"/>
              </w:rPr>
              <w:t>施工企业资质</w:t>
            </w:r>
          </w:p>
          <w:p>
            <w:pPr>
              <w:pStyle w:val="7"/>
              <w:kinsoku w:val="0"/>
              <w:overflowPunct w:val="0"/>
              <w:spacing w:line="239" w:lineRule="exact"/>
              <w:ind w:left="426" w:right="344"/>
              <w:jc w:val="center"/>
              <w:rPr>
                <w:color w:val="auto"/>
                <w:sz w:val="24"/>
                <w:szCs w:val="24"/>
                <w:highlight w:val="none"/>
              </w:rPr>
            </w:pPr>
            <w:r>
              <w:rPr>
                <w:rFonts w:hint="eastAsia"/>
                <w:color w:val="auto"/>
                <w:sz w:val="24"/>
                <w:szCs w:val="24"/>
                <w:highlight w:val="none"/>
              </w:rPr>
              <w:t>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24"/>
                <w:szCs w:val="24"/>
                <w:highlight w:val="none"/>
              </w:rPr>
            </w:pPr>
            <w:r>
              <w:rPr>
                <w:rFonts w:hint="eastAsia"/>
                <w:color w:val="auto"/>
                <w:sz w:val="24"/>
                <w:szCs w:val="24"/>
                <w:highlight w:val="none"/>
              </w:rPr>
              <w:t>业绩基本要求</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color w:val="auto"/>
                <w:kern w:val="0"/>
                <w:sz w:val="24"/>
                <w:szCs w:val="24"/>
                <w:highlight w:val="none"/>
                <w:u w:val="none"/>
                <w:lang w:val="en-US" w:eastAsia="zh-CN"/>
              </w:rPr>
              <w:t>LJ2-1-5</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i w:val="0"/>
                <w:color w:val="auto"/>
                <w:kern w:val="0"/>
                <w:sz w:val="24"/>
                <w:szCs w:val="24"/>
                <w:highlight w:val="none"/>
                <w:u w:val="none"/>
                <w:lang w:val="en-US" w:eastAsia="zh-CN"/>
              </w:rPr>
              <w:t>钢箱梁制作、运输及安装</w:t>
            </w:r>
            <w:r>
              <w:rPr>
                <w:rFonts w:hint="eastAsia" w:ascii="宋体" w:hAnsi="宋体" w:eastAsia="宋体" w:cs="宋体"/>
                <w:i w:val="0"/>
                <w:color w:val="auto"/>
                <w:kern w:val="0"/>
                <w:sz w:val="24"/>
                <w:szCs w:val="24"/>
                <w:highlight w:val="none"/>
                <w:u w:val="none"/>
                <w:lang w:val="en-US" w:eastAsia="zh-CN"/>
              </w:rPr>
              <w:t>。</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钢结构工程专业承包</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级</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近</w:t>
            </w:r>
            <w:r>
              <w:rPr>
                <w:rFonts w:hint="eastAsia" w:ascii="宋体" w:hAnsi="宋体" w:cs="宋体"/>
                <w:color w:val="auto"/>
                <w:kern w:val="0"/>
                <w:sz w:val="24"/>
                <w:szCs w:val="24"/>
                <w:highlight w:val="none"/>
                <w:lang w:bidi="ar"/>
              </w:rPr>
              <w:t>5年内（2015年</w:t>
            </w:r>
            <w:r>
              <w:rPr>
                <w:rFonts w:hint="eastAsia" w:ascii="宋体" w:hAnsi="宋体" w:cs="宋体"/>
                <w:color w:val="auto"/>
                <w:kern w:val="0"/>
                <w:sz w:val="24"/>
                <w:szCs w:val="24"/>
                <w:highlight w:val="none"/>
                <w:lang w:val="en-US" w:eastAsia="zh-CN" w:bidi="ar"/>
              </w:rPr>
              <w:t>11</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lang w:val="en-US" w:eastAsia="zh-CN" w:bidi="ar"/>
              </w:rPr>
              <w:t>0</w:t>
            </w:r>
            <w:r>
              <w:rPr>
                <w:rFonts w:hint="eastAsia" w:ascii="宋体" w:hAnsi="宋体" w:cs="宋体"/>
                <w:color w:val="auto"/>
                <w:kern w:val="0"/>
                <w:sz w:val="24"/>
                <w:szCs w:val="24"/>
                <w:highlight w:val="none"/>
                <w:lang w:bidi="ar"/>
              </w:rPr>
              <w:t>1日</w:t>
            </w:r>
            <w:r>
              <w:rPr>
                <w:rFonts w:hint="eastAsia" w:ascii="宋体" w:hAnsi="宋体" w:cs="宋体"/>
                <w:color w:val="auto"/>
                <w:kern w:val="0"/>
                <w:sz w:val="24"/>
                <w:szCs w:val="24"/>
                <w:highlight w:val="none"/>
                <w:lang w:val="en-US" w:eastAsia="zh-CN" w:bidi="ar"/>
              </w:rPr>
              <w:t>-至今</w:t>
            </w:r>
            <w:r>
              <w:rPr>
                <w:rFonts w:hint="eastAsia" w:ascii="宋体" w:hAnsi="宋体" w:cs="宋体"/>
                <w:color w:val="auto"/>
                <w:kern w:val="0"/>
                <w:sz w:val="24"/>
                <w:szCs w:val="24"/>
                <w:highlight w:val="none"/>
                <w:lang w:bidi="ar"/>
              </w:rPr>
              <w:t>）</w:t>
            </w:r>
            <w:r>
              <w:rPr>
                <w:rFonts w:hint="eastAsia" w:ascii="宋体" w:hAnsi="宋体" w:cs="宋体"/>
                <w:color w:val="auto"/>
                <w:sz w:val="24"/>
                <w:szCs w:val="24"/>
                <w:highlight w:val="none"/>
              </w:rPr>
              <w:t>具有</w:t>
            </w:r>
            <w:r>
              <w:rPr>
                <w:rFonts w:hint="eastAsia" w:ascii="宋体" w:hAnsi="宋体" w:cs="宋体"/>
                <w:color w:val="auto"/>
                <w:sz w:val="24"/>
                <w:szCs w:val="24"/>
                <w:highlight w:val="none"/>
                <w:lang w:val="en-US" w:eastAsia="zh-CN"/>
              </w:rPr>
              <w:t>独立完成2个标段以上，其中含一个单跨40M以上钢箱梁的制作及安装工作的业绩。</w:t>
            </w:r>
          </w:p>
        </w:tc>
        <w:tc>
          <w:tcPr>
            <w:tcW w:w="1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24"/>
                <w:szCs w:val="24"/>
                <w:highlight w:val="none"/>
                <w:lang w:bidi="ar"/>
              </w:rPr>
            </w:pPr>
          </w:p>
        </w:tc>
      </w:tr>
    </w:tbl>
    <w:p>
      <w:pPr>
        <w:pStyle w:val="8"/>
        <w:tabs>
          <w:tab w:val="right" w:leader="dot" w:pos="8306"/>
        </w:tabs>
        <w:jc w:val="both"/>
        <w:rPr>
          <w:rFonts w:hint="default"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注：1、业绩必须提供合同、清单或甲方证明材料，业绩证明材料须能证明完成业绩的真实性。</w:t>
      </w:r>
    </w:p>
    <w:p>
      <w:pPr>
        <w:pStyle w:val="8"/>
        <w:tabs>
          <w:tab w:val="right" w:leader="dot" w:pos="8306"/>
        </w:tabs>
        <w:ind w:firstLine="643" w:firstLineChars="200"/>
        <w:jc w:val="both"/>
        <w:rPr>
          <w:rFonts w:hint="default" w:ascii="仿宋" w:hAnsi="仿宋" w:eastAsia="仿宋" w:cs="仿宋"/>
          <w:b/>
          <w:i w:val="0"/>
          <w:color w:val="auto"/>
          <w:kern w:val="0"/>
          <w:sz w:val="32"/>
          <w:szCs w:val="32"/>
          <w:highlight w:val="none"/>
          <w:u w:val="none"/>
          <w:lang w:val="en-US" w:eastAsia="zh-CN" w:bidi="ar"/>
        </w:rPr>
        <w:sectPr>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0" w:num="1"/>
          <w:rtlGutter w:val="0"/>
          <w:docGrid w:linePitch="1" w:charSpace="0"/>
        </w:sectPr>
      </w:pPr>
      <w:r>
        <w:rPr>
          <w:rFonts w:hint="eastAsia" w:ascii="仿宋" w:hAnsi="仿宋" w:eastAsia="仿宋" w:cs="仿宋"/>
          <w:b/>
          <w:i w:val="0"/>
          <w:color w:val="auto"/>
          <w:kern w:val="0"/>
          <w:sz w:val="32"/>
          <w:szCs w:val="32"/>
          <w:highlight w:val="none"/>
          <w:u w:val="none"/>
          <w:lang w:val="en-US" w:eastAsia="zh-CN" w:bidi="ar"/>
        </w:rPr>
        <w:t>2、业绩要求时间以合同或交工验收时间为准。</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6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99"/>
        <w:gridCol w:w="2700"/>
        <w:gridCol w:w="2552"/>
        <w:gridCol w:w="1765"/>
        <w:gridCol w:w="1764"/>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852" w:hRule="atLeast"/>
        </w:trPr>
        <w:tc>
          <w:tcPr>
            <w:tcW w:w="96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南充至成都高速公路扩容工程成都入城复线段土建施工LJ2-1-5分段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施工</w:t>
            </w:r>
            <w:r>
              <w:rPr>
                <w:rFonts w:hint="eastAsia" w:ascii="仿宋" w:hAnsi="仿宋" w:eastAsia="仿宋" w:cs="仿宋"/>
                <w:b/>
                <w:bCs/>
                <w:color w:val="auto"/>
                <w:sz w:val="28"/>
                <w:szCs w:val="28"/>
                <w:highlight w:val="none"/>
                <w:lang w:eastAsia="zh-CN"/>
              </w:rPr>
              <w:t>分包（</w:t>
            </w:r>
            <w:r>
              <w:rPr>
                <w:rFonts w:hint="eastAsia" w:ascii="仿宋" w:hAnsi="仿宋" w:eastAsia="仿宋" w:cs="仿宋"/>
                <w:b/>
                <w:bCs/>
                <w:color w:val="auto"/>
                <w:sz w:val="28"/>
                <w:szCs w:val="28"/>
                <w:highlight w:val="none"/>
                <w:lang w:val="en-US" w:eastAsia="zh-CN"/>
              </w:rPr>
              <w:t>钢箱梁</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20"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担任过两个及两个以上类似项目负责人。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担任过两个及两个以上类似项目技术负责人。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持</w:t>
            </w:r>
            <w:r>
              <w:rPr>
                <w:rFonts w:hint="eastAsia" w:ascii="宋体" w:hAnsi="宋体" w:cs="宋体"/>
                <w:i w:val="0"/>
                <w:color w:val="auto"/>
                <w:kern w:val="0"/>
                <w:sz w:val="21"/>
                <w:szCs w:val="21"/>
                <w:highlight w:val="none"/>
                <w:u w:val="none"/>
                <w:lang w:val="en-US" w:eastAsia="zh-CN" w:bidi="ar"/>
              </w:rPr>
              <w:t>安全生产许可C证</w:t>
            </w: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负责项目测量工作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7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内业负责人</w:t>
            </w:r>
          </w:p>
        </w:tc>
        <w:tc>
          <w:tcPr>
            <w:tcW w:w="25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负责项目内业工作</w:t>
            </w:r>
          </w:p>
        </w:tc>
        <w:tc>
          <w:tcPr>
            <w:tcW w:w="176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2799" w:hRule="atLeast"/>
        </w:trPr>
        <w:tc>
          <w:tcPr>
            <w:tcW w:w="96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color w:val="auto"/>
                <w:highlight w:val="none"/>
                <w:lang w:val="en-US" w:eastAsia="zh-CN"/>
              </w:rPr>
            </w:pPr>
            <w:r>
              <w:rPr>
                <w:rFonts w:hint="eastAsia"/>
                <w:color w:val="auto"/>
                <w:highlight w:val="none"/>
                <w:lang w:val="en-US" w:eastAsia="zh-CN"/>
              </w:rPr>
              <w:t xml:space="preserve">注：1、本表为主要人员的最低要求，投标人应根据施工需要或招标人的要求无条件增加相关专业技术人员。 </w:t>
            </w:r>
            <w:r>
              <w:rPr>
                <w:rFonts w:hint="eastAsia"/>
                <w:color w:val="auto"/>
                <w:highlight w:val="none"/>
                <w:lang w:val="en-US" w:eastAsia="zh-CN"/>
              </w:rPr>
              <w:br w:type="textWrapping"/>
            </w:r>
            <w:r>
              <w:rPr>
                <w:rFonts w:hint="eastAsia"/>
                <w:color w:val="auto"/>
                <w:highlight w:val="none"/>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color w:val="auto"/>
                <w:highlight w:val="none"/>
                <w:lang w:val="en-US" w:eastAsia="zh-CN"/>
              </w:rPr>
              <w:br w:type="textWrapping"/>
            </w:r>
            <w:r>
              <w:rPr>
                <w:rFonts w:hint="eastAsia"/>
                <w:color w:val="auto"/>
                <w:highlight w:val="none"/>
                <w:lang w:val="en-US" w:eastAsia="zh-CN"/>
              </w:rPr>
              <w:t>3、相关管理人员及技术人员必须在岗，有特殊情况离岗必须向项目部请假并得到批准。</w:t>
            </w:r>
          </w:p>
          <w:p>
            <w:pPr>
              <w:widowControl/>
              <w:jc w:val="left"/>
              <w:textAlignment w:val="center"/>
              <w:rPr>
                <w:rFonts w:hint="eastAsia"/>
                <w:color w:val="auto"/>
                <w:highlight w:val="none"/>
                <w:lang w:val="en-US" w:eastAsia="zh-CN"/>
              </w:rPr>
            </w:pPr>
            <w:r>
              <w:rPr>
                <w:rFonts w:hint="eastAsia"/>
                <w:color w:val="auto"/>
                <w:highlight w:val="none"/>
                <w:lang w:val="en-US" w:eastAsia="zh-CN"/>
              </w:rPr>
              <w:t>4、</w:t>
            </w:r>
            <w:r>
              <w:rPr>
                <w:rFonts w:hint="eastAsia"/>
                <w:color w:val="auto"/>
                <w:highlight w:val="none"/>
              </w:rPr>
              <w:t>规模50人以下的至少配备1名专职安全员；规模50人至200人的，至少配备2名专职安全员；规模超过200人的至少配备3名专职安全员且专职安全员数量不得低于总人数的5‰。</w:t>
            </w:r>
          </w:p>
          <w:p>
            <w:pPr>
              <w:widowControl/>
              <w:jc w:val="left"/>
              <w:textAlignment w:val="center"/>
              <w:rPr>
                <w:rFonts w:hint="eastAsia"/>
                <w:color w:val="auto"/>
                <w:highlight w:val="none"/>
                <w:lang w:val="en-US" w:eastAsia="zh-CN"/>
              </w:rPr>
            </w:pPr>
            <w:r>
              <w:rPr>
                <w:rFonts w:hint="eastAsia"/>
                <w:color w:val="auto"/>
                <w:highlight w:val="none"/>
                <w:lang w:val="en-US" w:eastAsia="zh-CN"/>
              </w:rPr>
              <w:t>5、具有危险性较大的临时支架、门架、钢箱梁安装等工程项目现场施工点应配备专职安全员及技术人员。</w:t>
            </w:r>
          </w:p>
          <w:p>
            <w:pPr>
              <w:pStyle w:val="2"/>
              <w:ind w:left="0" w:leftChars="0" w:firstLine="0" w:firstLineChars="0"/>
              <w:rPr>
                <w:rFonts w:hint="eastAsia"/>
                <w:color w:val="auto"/>
                <w:highlight w:val="none"/>
                <w:lang w:val="en-US" w:eastAsia="zh-CN"/>
              </w:rPr>
            </w:pPr>
            <w:r>
              <w:rPr>
                <w:rFonts w:hint="eastAsia" w:ascii="Times New Roman" w:hAnsi="Times New Roman" w:cs="Times New Roman"/>
                <w:i w:val="0"/>
                <w:color w:val="auto"/>
                <w:sz w:val="21"/>
                <w:szCs w:val="22"/>
                <w:highlight w:val="none"/>
                <w:u w:val="none"/>
                <w:lang w:val="en-US" w:eastAsia="zh-CN"/>
              </w:rPr>
              <w:t>6、</w:t>
            </w:r>
            <w:r>
              <w:rPr>
                <w:rFonts w:hint="eastAsia" w:ascii="Times New Roman" w:hAnsi="Times New Roman" w:eastAsia="宋体" w:cs="Times New Roman"/>
                <w:color w:val="auto"/>
                <w:kern w:val="2"/>
                <w:sz w:val="21"/>
                <w:szCs w:val="22"/>
                <w:highlight w:val="none"/>
                <w:lang w:val="en-US" w:eastAsia="zh-CN" w:bidi="ar-SA"/>
              </w:rPr>
              <w:t>项目负责人、项目技术负责人、安全负责人、测量负责人、内业负责人按照招标人要求配备。</w:t>
            </w:r>
          </w:p>
        </w:tc>
      </w:tr>
    </w:tbl>
    <w:p>
      <w:pPr>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br w:type="page"/>
      </w:r>
    </w:p>
    <w:p>
      <w:pPr>
        <w:pStyle w:val="2"/>
        <w:spacing w:line="360" w:lineRule="auto"/>
        <w:ind w:firstLine="0"/>
        <w:rPr>
          <w:rStyle w:val="9"/>
          <w:rFonts w:hint="default"/>
          <w:color w:val="auto"/>
          <w:sz w:val="24"/>
          <w:szCs w:val="24"/>
          <w:highlight w:val="none"/>
          <w:lang w:bidi="ar"/>
        </w:rPr>
      </w:pPr>
      <w:r>
        <w:rPr>
          <w:rStyle w:val="9"/>
          <w:rFonts w:hint="default"/>
          <w:color w:val="auto"/>
          <w:sz w:val="24"/>
          <w:szCs w:val="24"/>
          <w:highlight w:val="none"/>
          <w:lang w:bidi="ar"/>
        </w:rPr>
        <w:t>附表</w:t>
      </w:r>
      <w:r>
        <w:rPr>
          <w:rStyle w:val="9"/>
          <w:rFonts w:hint="eastAsia" w:eastAsia="宋体"/>
          <w:color w:val="auto"/>
          <w:sz w:val="24"/>
          <w:szCs w:val="24"/>
          <w:highlight w:val="none"/>
          <w:lang w:val="en-US" w:eastAsia="zh-CN" w:bidi="ar"/>
        </w:rPr>
        <w:t>四</w:t>
      </w:r>
      <w:r>
        <w:rPr>
          <w:rStyle w:val="9"/>
          <w:rFonts w:hint="default"/>
          <w:color w:val="auto"/>
          <w:sz w:val="24"/>
          <w:szCs w:val="24"/>
          <w:highlight w:val="none"/>
          <w:lang w:bidi="ar"/>
        </w:rPr>
        <w:t xml:space="preserve">               </w:t>
      </w:r>
    </w:p>
    <w:p>
      <w:pPr>
        <w:pStyle w:val="8"/>
        <w:tabs>
          <w:tab w:val="right" w:leader="dot" w:pos="8306"/>
        </w:tabs>
        <w:jc w:val="center"/>
        <w:rPr>
          <w:rFonts w:hint="eastAsia" w:ascii="仿宋" w:hAnsi="仿宋" w:eastAsia="仿宋" w:cs="仿宋"/>
          <w:b/>
          <w:bCs/>
          <w:color w:val="auto"/>
          <w:sz w:val="28"/>
          <w:szCs w:val="28"/>
          <w:highlight w:val="none"/>
          <w:lang w:eastAsia="zh-CN"/>
        </w:rPr>
      </w:pPr>
    </w:p>
    <w:p>
      <w:pPr>
        <w:pStyle w:val="8"/>
        <w:tabs>
          <w:tab w:val="right" w:leader="dot" w:pos="8306"/>
        </w:tabs>
        <w:jc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南充至成都高速公路扩容工程成都入城复线段土建施工LJ2-1-5分段</w:t>
      </w:r>
      <w:r>
        <w:rPr>
          <w:rFonts w:hint="eastAsia" w:ascii="仿宋" w:hAnsi="仿宋" w:eastAsia="仿宋" w:cs="仿宋"/>
          <w:b/>
          <w:bCs/>
          <w:color w:val="auto"/>
          <w:sz w:val="28"/>
          <w:szCs w:val="28"/>
          <w:highlight w:val="none"/>
          <w:lang w:val="en-US" w:eastAsia="zh-CN"/>
        </w:rPr>
        <w:t>施工</w:t>
      </w:r>
      <w:r>
        <w:rPr>
          <w:rFonts w:hint="eastAsia" w:ascii="仿宋" w:hAnsi="仿宋" w:eastAsia="仿宋" w:cs="仿宋"/>
          <w:b/>
          <w:bCs/>
          <w:color w:val="auto"/>
          <w:sz w:val="28"/>
          <w:szCs w:val="28"/>
          <w:highlight w:val="none"/>
          <w:lang w:eastAsia="zh-CN"/>
        </w:rPr>
        <w:t>分包（</w:t>
      </w:r>
      <w:r>
        <w:rPr>
          <w:rFonts w:hint="eastAsia" w:ascii="仿宋" w:hAnsi="仿宋" w:eastAsia="仿宋" w:cs="仿宋"/>
          <w:b/>
          <w:bCs/>
          <w:color w:val="auto"/>
          <w:sz w:val="28"/>
          <w:szCs w:val="28"/>
          <w:highlight w:val="none"/>
          <w:lang w:val="en-US" w:eastAsia="zh-CN"/>
        </w:rPr>
        <w:t>钢箱梁</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8"/>
        <w:tabs>
          <w:tab w:val="right" w:leader="dot" w:pos="8306"/>
        </w:tabs>
        <w:jc w:val="both"/>
        <w:rPr>
          <w:rFonts w:hint="eastAsia" w:ascii="仿宋" w:hAnsi="仿宋" w:eastAsia="仿宋" w:cs="仿宋"/>
          <w:b/>
          <w:i w:val="0"/>
          <w:color w:val="auto"/>
          <w:kern w:val="0"/>
          <w:sz w:val="28"/>
          <w:szCs w:val="28"/>
          <w:highlight w:val="none"/>
          <w:u w:val="none"/>
          <w:lang w:val="en-US" w:eastAsia="zh-CN" w:bidi="ar"/>
        </w:rPr>
      </w:pPr>
    </w:p>
    <w:p>
      <w:pPr>
        <w:pStyle w:val="8"/>
        <w:tabs>
          <w:tab w:val="right" w:leader="dot" w:pos="8306"/>
        </w:tabs>
        <w:jc w:val="center"/>
        <w:rPr>
          <w:rFonts w:hint="eastAsia" w:ascii="仿宋" w:hAnsi="仿宋" w:eastAsia="仿宋" w:cs="仿宋"/>
          <w:b/>
          <w:i w:val="0"/>
          <w:color w:val="auto"/>
          <w:kern w:val="0"/>
          <w:sz w:val="28"/>
          <w:szCs w:val="28"/>
          <w:highlight w:val="none"/>
          <w:u w:val="none"/>
          <w:lang w:val="en-US" w:eastAsia="zh-CN" w:bidi="ar"/>
        </w:rPr>
      </w:pPr>
    </w:p>
    <w:tbl>
      <w:tblPr>
        <w:tblStyle w:val="6"/>
        <w:tblpPr w:leftFromText="180" w:rightFromText="180" w:vertAnchor="page" w:horzAnchor="page" w:tblpX="1482" w:tblpY="3281"/>
        <w:tblOverlap w:val="never"/>
        <w:tblW w:w="9134" w:type="dxa"/>
        <w:jc w:val="center"/>
        <w:tblInd w:w="0" w:type="dxa"/>
        <w:tblLayout w:type="fixed"/>
        <w:tblCellMar>
          <w:top w:w="0" w:type="dxa"/>
          <w:left w:w="108" w:type="dxa"/>
          <w:bottom w:w="0" w:type="dxa"/>
          <w:right w:w="108" w:type="dxa"/>
        </w:tblCellMar>
      </w:tblPr>
      <w:tblGrid>
        <w:gridCol w:w="534"/>
        <w:gridCol w:w="1701"/>
        <w:gridCol w:w="1513"/>
        <w:gridCol w:w="850"/>
        <w:gridCol w:w="1073"/>
        <w:gridCol w:w="752"/>
        <w:gridCol w:w="1134"/>
        <w:gridCol w:w="816"/>
        <w:gridCol w:w="761"/>
      </w:tblGrid>
      <w:tr>
        <w:tblPrEx>
          <w:tblLayout w:type="fixed"/>
          <w:tblCellMar>
            <w:top w:w="0" w:type="dxa"/>
            <w:left w:w="108" w:type="dxa"/>
            <w:bottom w:w="0" w:type="dxa"/>
            <w:right w:w="108" w:type="dxa"/>
          </w:tblCellMar>
        </w:tblPrEx>
        <w:trPr>
          <w:trHeight w:val="381" w:hRule="atLeast"/>
          <w:jc w:val="center"/>
        </w:trPr>
        <w:tc>
          <w:tcPr>
            <w:tcW w:w="534"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color w:val="auto"/>
                <w:szCs w:val="21"/>
                <w:highlight w:val="none"/>
              </w:rPr>
            </w:pPr>
            <w:r>
              <w:rPr>
                <w:rFonts w:hint="eastAsia"/>
                <w:color w:val="auto"/>
                <w:szCs w:val="21"/>
                <w:highlight w:val="none"/>
              </w:rPr>
              <w:t>序号</w:t>
            </w:r>
          </w:p>
        </w:tc>
        <w:tc>
          <w:tcPr>
            <w:tcW w:w="1701"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color w:val="auto"/>
                <w:szCs w:val="21"/>
                <w:highlight w:val="none"/>
              </w:rPr>
            </w:pPr>
            <w:r>
              <w:rPr>
                <w:rFonts w:hint="eastAsia"/>
                <w:color w:val="auto"/>
                <w:szCs w:val="21"/>
                <w:highlight w:val="none"/>
              </w:rPr>
              <w:t>机械设备名称</w:t>
            </w:r>
          </w:p>
        </w:tc>
        <w:tc>
          <w:tcPr>
            <w:tcW w:w="1513" w:type="dxa"/>
            <w:vMerge w:val="restart"/>
            <w:tcBorders>
              <w:top w:val="single" w:color="000000" w:sz="4" w:space="0"/>
              <w:left w:val="single" w:color="000000" w:sz="4" w:space="0"/>
              <w:right w:val="single" w:color="000000" w:sz="4" w:space="0"/>
            </w:tcBorders>
            <w:vAlign w:val="center"/>
          </w:tcPr>
          <w:p>
            <w:pPr>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规格、型号</w:t>
            </w:r>
          </w:p>
        </w:tc>
        <w:tc>
          <w:tcPr>
            <w:tcW w:w="850" w:type="dxa"/>
            <w:vMerge w:val="restart"/>
            <w:tcBorders>
              <w:top w:val="single" w:color="000000" w:sz="4" w:space="0"/>
              <w:left w:val="single" w:color="000000" w:sz="4" w:space="0"/>
              <w:right w:val="single" w:color="000000" w:sz="4" w:space="0"/>
            </w:tcBorders>
            <w:vAlign w:val="center"/>
          </w:tcPr>
          <w:p>
            <w:pPr>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单位</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pPr>
              <w:pStyle w:val="7"/>
              <w:spacing w:line="260" w:lineRule="exact"/>
              <w:ind w:firstLine="210" w:firstLineChars="100"/>
              <w:jc w:val="center"/>
              <w:rPr>
                <w:rFonts w:hint="eastAsia" w:ascii="宋体" w:hAnsi="宋体" w:cs="宋体"/>
                <w:bCs/>
                <w:color w:val="auto"/>
                <w:szCs w:val="21"/>
                <w:highlight w:val="none"/>
              </w:rPr>
            </w:pPr>
            <w:r>
              <w:rPr>
                <w:rFonts w:hint="eastAsia" w:ascii="宋体" w:hAnsi="宋体" w:cs="宋体"/>
                <w:color w:val="auto"/>
                <w:szCs w:val="21"/>
                <w:highlight w:val="none"/>
              </w:rPr>
              <w:t>基本要求</w:t>
            </w:r>
          </w:p>
        </w:tc>
        <w:tc>
          <w:tcPr>
            <w:tcW w:w="1134" w:type="dxa"/>
            <w:vMerge w:val="restart"/>
            <w:tcBorders>
              <w:top w:val="single" w:color="000000" w:sz="4" w:space="0"/>
              <w:left w:val="single" w:color="000000" w:sz="4" w:space="0"/>
              <w:right w:val="single" w:color="000000" w:sz="4" w:space="0"/>
            </w:tcBorders>
            <w:vAlign w:val="center"/>
          </w:tcPr>
          <w:p>
            <w:pPr>
              <w:kinsoku w:val="0"/>
              <w:overflowPunct w:val="0"/>
              <w:spacing w:line="260" w:lineRule="exact"/>
              <w:jc w:val="center"/>
              <w:rPr>
                <w:rFonts w:hint="eastAsia" w:cs="宋体"/>
                <w:color w:val="auto"/>
                <w:szCs w:val="21"/>
                <w:highlight w:val="none"/>
              </w:rPr>
            </w:pPr>
            <w:r>
              <w:rPr>
                <w:rFonts w:hint="eastAsia" w:ascii="宋体" w:hAnsi="宋体" w:cs="宋体"/>
                <w:color w:val="auto"/>
                <w:highlight w:val="none"/>
              </w:rPr>
              <w:t>每增加一台自有设备加分值</w:t>
            </w:r>
          </w:p>
        </w:tc>
        <w:tc>
          <w:tcPr>
            <w:tcW w:w="816"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cs="宋体"/>
                <w:color w:val="auto"/>
                <w:szCs w:val="21"/>
                <w:highlight w:val="none"/>
              </w:rPr>
            </w:pPr>
            <w:r>
              <w:rPr>
                <w:rFonts w:hint="eastAsia" w:cs="宋体"/>
                <w:color w:val="auto"/>
                <w:szCs w:val="21"/>
                <w:highlight w:val="none"/>
              </w:rPr>
              <w:t>加分上限</w:t>
            </w:r>
          </w:p>
        </w:tc>
        <w:tc>
          <w:tcPr>
            <w:tcW w:w="761"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ascii="宋体" w:hAnsi="宋体" w:cs="宋体"/>
                <w:color w:val="auto"/>
                <w:szCs w:val="21"/>
                <w:highlight w:val="none"/>
              </w:rPr>
            </w:pPr>
            <w:r>
              <w:rPr>
                <w:rFonts w:hint="eastAsia" w:cs="宋体"/>
                <w:color w:val="auto"/>
                <w:szCs w:val="21"/>
                <w:highlight w:val="none"/>
              </w:rPr>
              <w:t>出厂日期</w:t>
            </w:r>
          </w:p>
        </w:tc>
      </w:tr>
      <w:tr>
        <w:tblPrEx>
          <w:tblLayout w:type="fixed"/>
          <w:tblCellMar>
            <w:top w:w="0" w:type="dxa"/>
            <w:left w:w="108" w:type="dxa"/>
            <w:bottom w:w="0" w:type="dxa"/>
            <w:right w:w="108" w:type="dxa"/>
          </w:tblCellMar>
        </w:tblPrEx>
        <w:trPr>
          <w:trHeight w:val="565" w:hRule="atLeast"/>
          <w:jc w:val="center"/>
        </w:trPr>
        <w:tc>
          <w:tcPr>
            <w:tcW w:w="534" w:type="dxa"/>
            <w:vMerge w:val="continue"/>
            <w:tcBorders>
              <w:left w:val="single" w:color="000000" w:sz="4" w:space="0"/>
              <w:bottom w:val="single" w:color="000000" w:sz="4" w:space="0"/>
              <w:right w:val="single" w:color="000000" w:sz="4" w:space="0"/>
            </w:tcBorders>
            <w:vAlign w:val="center"/>
          </w:tcPr>
          <w:p>
            <w:pPr>
              <w:spacing w:line="440" w:lineRule="exact"/>
              <w:jc w:val="center"/>
              <w:rPr>
                <w:color w:val="auto"/>
                <w:szCs w:val="21"/>
                <w:highlight w:val="none"/>
              </w:rPr>
            </w:pPr>
          </w:p>
        </w:tc>
        <w:tc>
          <w:tcPr>
            <w:tcW w:w="1701" w:type="dxa"/>
            <w:vMerge w:val="continue"/>
            <w:tcBorders>
              <w:left w:val="single" w:color="000000" w:sz="4" w:space="0"/>
              <w:bottom w:val="single" w:color="000000" w:sz="4" w:space="0"/>
              <w:right w:val="single" w:color="000000" w:sz="4" w:space="0"/>
            </w:tcBorders>
            <w:vAlign w:val="center"/>
          </w:tcPr>
          <w:p>
            <w:pPr>
              <w:spacing w:line="440" w:lineRule="exact"/>
              <w:jc w:val="center"/>
              <w:rPr>
                <w:color w:val="auto"/>
                <w:szCs w:val="21"/>
                <w:highlight w:val="none"/>
              </w:rPr>
            </w:pPr>
          </w:p>
        </w:tc>
        <w:tc>
          <w:tcPr>
            <w:tcW w:w="1513" w:type="dxa"/>
            <w:vMerge w:val="continue"/>
            <w:tcBorders>
              <w:left w:val="single" w:color="000000" w:sz="4" w:space="0"/>
              <w:bottom w:val="single" w:color="000000" w:sz="4" w:space="0"/>
              <w:right w:val="single" w:color="000000" w:sz="4" w:space="0"/>
            </w:tcBorders>
            <w:vAlign w:val="center"/>
          </w:tcPr>
          <w:p>
            <w:pPr>
              <w:spacing w:line="440" w:lineRule="exact"/>
              <w:jc w:val="center"/>
              <w:rPr>
                <w:color w:val="auto"/>
                <w:szCs w:val="21"/>
                <w:highlight w:val="none"/>
              </w:rPr>
            </w:pPr>
          </w:p>
        </w:tc>
        <w:tc>
          <w:tcPr>
            <w:tcW w:w="850" w:type="dxa"/>
            <w:vMerge w:val="continue"/>
            <w:tcBorders>
              <w:left w:val="single" w:color="000000" w:sz="4" w:space="0"/>
              <w:bottom w:val="single" w:color="000000" w:sz="4" w:space="0"/>
              <w:right w:val="single" w:color="000000" w:sz="4" w:space="0"/>
            </w:tcBorders>
            <w:vAlign w:val="center"/>
          </w:tcPr>
          <w:p>
            <w:pPr>
              <w:spacing w:line="440" w:lineRule="exact"/>
              <w:jc w:val="center"/>
              <w:rPr>
                <w:color w:val="auto"/>
                <w:szCs w:val="21"/>
                <w:highlight w:val="none"/>
              </w:rPr>
            </w:pPr>
          </w:p>
        </w:tc>
        <w:tc>
          <w:tcPr>
            <w:tcW w:w="1073" w:type="dxa"/>
            <w:tcBorders>
              <w:top w:val="single" w:color="000000" w:sz="4" w:space="0"/>
              <w:left w:val="single" w:color="000000" w:sz="4" w:space="0"/>
              <w:bottom w:val="single" w:color="000000" w:sz="4" w:space="0"/>
              <w:right w:val="single" w:color="000000" w:sz="4" w:space="0"/>
            </w:tcBorders>
            <w:vAlign w:val="center"/>
          </w:tcPr>
          <w:p>
            <w:pPr>
              <w:pStyle w:val="7"/>
              <w:spacing w:line="260" w:lineRule="exact"/>
              <w:jc w:val="center"/>
              <w:rPr>
                <w:rFonts w:hint="eastAsia" w:ascii="宋体" w:hAnsi="宋体" w:cs="宋体"/>
                <w:bCs/>
                <w:color w:val="auto"/>
                <w:szCs w:val="21"/>
                <w:highlight w:val="none"/>
              </w:rPr>
            </w:pPr>
            <w:r>
              <w:rPr>
                <w:rFonts w:hint="eastAsia" w:cs="宋体"/>
                <w:color w:val="auto"/>
                <w:szCs w:val="21"/>
                <w:highlight w:val="none"/>
              </w:rPr>
              <w:t>总</w:t>
            </w:r>
            <w:r>
              <w:rPr>
                <w:rFonts w:hint="eastAsia" w:ascii="宋体" w:hAnsi="宋体" w:cs="宋体"/>
                <w:color w:val="auto"/>
                <w:szCs w:val="21"/>
                <w:highlight w:val="none"/>
              </w:rPr>
              <w:t>数量</w:t>
            </w:r>
          </w:p>
        </w:tc>
        <w:tc>
          <w:tcPr>
            <w:tcW w:w="752" w:type="dxa"/>
            <w:tcBorders>
              <w:left w:val="single" w:color="000000" w:sz="4" w:space="0"/>
              <w:bottom w:val="single" w:color="000000" w:sz="4" w:space="0"/>
              <w:right w:val="single" w:color="000000" w:sz="4" w:space="0"/>
            </w:tcBorders>
            <w:vAlign w:val="center"/>
          </w:tcPr>
          <w:p>
            <w:pPr>
              <w:pStyle w:val="7"/>
              <w:spacing w:line="260" w:lineRule="exact"/>
              <w:jc w:val="center"/>
              <w:rPr>
                <w:rFonts w:hint="eastAsia" w:ascii="宋体" w:hAnsi="宋体" w:cs="宋体"/>
                <w:bCs/>
                <w:color w:val="auto"/>
                <w:szCs w:val="21"/>
                <w:highlight w:val="none"/>
              </w:rPr>
            </w:pPr>
            <w:r>
              <w:rPr>
                <w:rFonts w:hint="eastAsia" w:ascii="宋体" w:hAnsi="宋体" w:cs="宋体"/>
                <w:color w:val="auto"/>
                <w:szCs w:val="21"/>
                <w:highlight w:val="none"/>
              </w:rPr>
              <w:t>自有设备</w:t>
            </w:r>
          </w:p>
        </w:tc>
        <w:tc>
          <w:tcPr>
            <w:tcW w:w="1134" w:type="dxa"/>
            <w:vMerge w:val="continue"/>
            <w:tcBorders>
              <w:left w:val="single" w:color="000000" w:sz="4" w:space="0"/>
              <w:bottom w:val="single" w:color="auto" w:sz="4" w:space="0"/>
              <w:right w:val="single" w:color="000000" w:sz="4" w:space="0"/>
            </w:tcBorders>
            <w:vAlign w:val="center"/>
          </w:tcPr>
          <w:p>
            <w:pPr>
              <w:spacing w:line="440" w:lineRule="exact"/>
              <w:jc w:val="center"/>
              <w:rPr>
                <w:rFonts w:hint="eastAsia" w:ascii="宋体" w:hAnsi="宋体" w:cs="宋体"/>
                <w:bCs/>
                <w:color w:val="auto"/>
                <w:szCs w:val="21"/>
                <w:highlight w:val="none"/>
              </w:rPr>
            </w:pPr>
          </w:p>
        </w:tc>
        <w:tc>
          <w:tcPr>
            <w:tcW w:w="816" w:type="dxa"/>
            <w:vMerge w:val="continue"/>
            <w:tcBorders>
              <w:left w:val="single" w:color="000000" w:sz="4" w:space="0"/>
              <w:bottom w:val="single" w:color="auto" w:sz="4" w:space="0"/>
              <w:right w:val="single" w:color="000000" w:sz="4" w:space="0"/>
            </w:tcBorders>
            <w:vAlign w:val="center"/>
          </w:tcPr>
          <w:p>
            <w:pPr>
              <w:spacing w:line="440" w:lineRule="exact"/>
              <w:jc w:val="center"/>
              <w:rPr>
                <w:rFonts w:hint="eastAsia" w:ascii="宋体" w:hAnsi="宋体" w:cs="宋体"/>
                <w:bCs/>
                <w:color w:val="auto"/>
                <w:szCs w:val="21"/>
                <w:highlight w:val="none"/>
              </w:rPr>
            </w:pPr>
          </w:p>
        </w:tc>
        <w:tc>
          <w:tcPr>
            <w:tcW w:w="761" w:type="dxa"/>
            <w:vMerge w:val="continue"/>
            <w:tcBorders>
              <w:left w:val="single" w:color="000000" w:sz="4" w:space="0"/>
              <w:bottom w:val="single" w:color="auto" w:sz="4" w:space="0"/>
              <w:right w:val="single" w:color="000000" w:sz="4" w:space="0"/>
            </w:tcBorders>
            <w:vAlign w:val="center"/>
          </w:tcPr>
          <w:p>
            <w:pPr>
              <w:spacing w:line="440" w:lineRule="exact"/>
              <w:jc w:val="center"/>
              <w:rPr>
                <w:rFonts w:hint="eastAsia" w:ascii="宋体" w:hAnsi="宋体" w:cs="宋体"/>
                <w:bCs/>
                <w:color w:val="auto"/>
                <w:szCs w:val="21"/>
                <w:highlight w:val="none"/>
              </w:rPr>
            </w:pPr>
          </w:p>
        </w:tc>
      </w:tr>
      <w:tr>
        <w:tblPrEx>
          <w:tblLayout w:type="fixed"/>
          <w:tblCellMar>
            <w:top w:w="0" w:type="dxa"/>
            <w:left w:w="108" w:type="dxa"/>
            <w:bottom w:w="0" w:type="dxa"/>
            <w:right w:w="108" w:type="dxa"/>
          </w:tblCellMar>
        </w:tblPrEx>
        <w:trPr>
          <w:trHeight w:val="567" w:hRule="atLeast"/>
          <w:jc w:val="center"/>
        </w:trPr>
        <w:tc>
          <w:tcPr>
            <w:tcW w:w="534" w:type="dxa"/>
            <w:tcBorders>
              <w:top w:val="single" w:color="000000" w:sz="4" w:space="0"/>
              <w:left w:val="single" w:color="000000" w:sz="4" w:space="0"/>
              <w:bottom w:val="single" w:color="000000" w:sz="4" w:space="0"/>
              <w:right w:val="single" w:color="000000" w:sz="4" w:space="0"/>
            </w:tcBorders>
            <w:vAlign w:val="center"/>
          </w:tcPr>
          <w:p>
            <w:pPr>
              <w:pStyle w:val="7"/>
              <w:kinsoku w:val="0"/>
              <w:overflowPunct w:val="0"/>
              <w:spacing w:line="2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吊车</w:t>
            </w:r>
          </w:p>
        </w:tc>
        <w:tc>
          <w:tcPr>
            <w:tcW w:w="151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bCs/>
                <w:color w:val="auto"/>
                <w:szCs w:val="21"/>
                <w:highlight w:val="none"/>
              </w:rPr>
            </w:pPr>
            <w:r>
              <w:rPr>
                <w:rFonts w:hint="eastAsia" w:ascii="宋体" w:hAnsi="宋体" w:cs="宋体"/>
                <w:color w:val="auto"/>
                <w:kern w:val="0"/>
                <w:szCs w:val="21"/>
                <w:highlight w:val="none"/>
                <w:lang w:val="en-US" w:eastAsia="zh-CN" w:bidi="ar"/>
              </w:rPr>
              <w:t>15</w:t>
            </w:r>
            <w:r>
              <w:rPr>
                <w:rFonts w:hint="eastAsia" w:ascii="宋体" w:hAnsi="宋体" w:cs="宋体"/>
                <w:color w:val="auto"/>
                <w:kern w:val="0"/>
                <w:szCs w:val="21"/>
                <w:highlight w:val="none"/>
                <w:lang w:bidi="ar"/>
              </w:rPr>
              <w:t>0T及以上</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台</w:t>
            </w:r>
          </w:p>
        </w:tc>
        <w:tc>
          <w:tcPr>
            <w:tcW w:w="10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52"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0</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761" w:type="dxa"/>
            <w:vMerge w:val="restart"/>
            <w:tcBorders>
              <w:top w:val="single" w:color="auto" w:sz="4" w:space="0"/>
              <w:left w:val="single" w:color="auto" w:sz="4" w:space="0"/>
              <w:bottom w:val="single" w:color="auto" w:sz="4" w:space="0"/>
              <w:right w:val="single" w:color="000000" w:sz="4" w:space="0"/>
            </w:tcBorders>
            <w:vAlign w:val="center"/>
          </w:tcPr>
          <w:p>
            <w:pPr>
              <w:widowControl/>
              <w:spacing w:line="260" w:lineRule="exact"/>
              <w:ind w:right="5"/>
              <w:jc w:val="center"/>
              <w:textAlignment w:val="center"/>
              <w:rPr>
                <w:rFonts w:ascii="宋体" w:hAnsi="宋体" w:cs="宋体"/>
                <w:color w:val="auto"/>
                <w:szCs w:val="21"/>
                <w:highlight w:val="none"/>
              </w:rPr>
            </w:pPr>
            <w:r>
              <w:rPr>
                <w:rFonts w:hint="eastAsia" w:ascii="宋体" w:hAnsi="宋体" w:cs="宋体"/>
                <w:color w:val="auto"/>
                <w:highlight w:val="none"/>
              </w:rPr>
              <w:t>20</w:t>
            </w:r>
            <w:r>
              <w:rPr>
                <w:rFonts w:hint="eastAsia" w:ascii="宋体" w:hAnsi="宋体" w:cs="宋体"/>
                <w:color w:val="auto"/>
                <w:highlight w:val="none"/>
                <w:lang w:val="en-US" w:eastAsia="zh-CN"/>
              </w:rPr>
              <w:t>18</w:t>
            </w:r>
            <w:r>
              <w:rPr>
                <w:rFonts w:hint="eastAsia" w:ascii="宋体" w:hAnsi="宋体" w:cs="宋体"/>
                <w:color w:val="auto"/>
                <w:highlight w:val="none"/>
              </w:rPr>
              <w:t>年</w:t>
            </w:r>
            <w:r>
              <w:rPr>
                <w:rFonts w:hint="eastAsia" w:ascii="宋体" w:hAnsi="宋体" w:cs="宋体"/>
                <w:color w:val="auto"/>
                <w:highlight w:val="none"/>
                <w:lang w:val="en-US" w:eastAsia="zh-CN"/>
              </w:rPr>
              <w:t>10</w:t>
            </w:r>
            <w:r>
              <w:rPr>
                <w:rFonts w:hint="eastAsia" w:ascii="宋体" w:hAnsi="宋体" w:cs="宋体"/>
                <w:color w:val="auto"/>
                <w:highlight w:val="none"/>
              </w:rPr>
              <w:t>月后</w:t>
            </w:r>
          </w:p>
        </w:tc>
      </w:tr>
      <w:tr>
        <w:tblPrEx>
          <w:tblLayout w:type="fixed"/>
          <w:tblCellMar>
            <w:top w:w="0" w:type="dxa"/>
            <w:left w:w="108" w:type="dxa"/>
            <w:bottom w:w="0" w:type="dxa"/>
            <w:right w:w="108" w:type="dxa"/>
          </w:tblCellMar>
        </w:tblPrEx>
        <w:trPr>
          <w:trHeight w:val="567" w:hRule="atLeast"/>
          <w:jc w:val="center"/>
        </w:trPr>
        <w:tc>
          <w:tcPr>
            <w:tcW w:w="534" w:type="dxa"/>
            <w:tcBorders>
              <w:top w:val="single" w:color="000000" w:sz="4" w:space="0"/>
              <w:left w:val="single" w:color="000000" w:sz="4" w:space="0"/>
              <w:bottom w:val="single" w:color="000000" w:sz="4" w:space="0"/>
              <w:right w:val="single" w:color="000000" w:sz="4" w:space="0"/>
            </w:tcBorders>
            <w:vAlign w:val="center"/>
          </w:tcPr>
          <w:p>
            <w:pPr>
              <w:pStyle w:val="7"/>
              <w:kinsoku w:val="0"/>
              <w:overflowPunct w:val="0"/>
              <w:spacing w:line="2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Cs/>
                <w:color w:val="auto"/>
                <w:szCs w:val="21"/>
                <w:highlight w:val="none"/>
              </w:rPr>
            </w:pPr>
            <w:r>
              <w:rPr>
                <w:rFonts w:hint="eastAsia" w:ascii="宋体" w:hAnsi="宋体" w:cs="宋体"/>
                <w:color w:val="auto"/>
                <w:highlight w:val="none"/>
              </w:rPr>
              <w:t>吊车</w:t>
            </w:r>
          </w:p>
        </w:tc>
        <w:tc>
          <w:tcPr>
            <w:tcW w:w="151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bCs/>
                <w:color w:val="auto"/>
                <w:szCs w:val="21"/>
                <w:highlight w:val="none"/>
              </w:rPr>
            </w:pPr>
            <w:r>
              <w:rPr>
                <w:rFonts w:hint="eastAsia" w:ascii="宋体" w:hAnsi="宋体" w:cs="宋体"/>
                <w:color w:val="auto"/>
                <w:kern w:val="0"/>
                <w:szCs w:val="21"/>
                <w:highlight w:val="none"/>
                <w:lang w:val="en-US" w:eastAsia="zh-CN" w:bidi="ar"/>
              </w:rPr>
              <w:t>50</w:t>
            </w:r>
            <w:r>
              <w:rPr>
                <w:rFonts w:hint="eastAsia" w:ascii="宋体" w:hAnsi="宋体" w:cs="宋体"/>
                <w:color w:val="auto"/>
                <w:kern w:val="0"/>
                <w:szCs w:val="21"/>
                <w:highlight w:val="none"/>
                <w:lang w:bidi="ar"/>
              </w:rPr>
              <w:t>T</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107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cs="宋体"/>
                <w:bCs/>
                <w:color w:val="auto"/>
                <w:szCs w:val="21"/>
                <w:highlight w:val="none"/>
              </w:rPr>
            </w:pPr>
            <w:r>
              <w:rPr>
                <w:rFonts w:ascii="宋体" w:hAnsi="宋体" w:cs="宋体"/>
                <w:bCs/>
                <w:color w:val="auto"/>
                <w:szCs w:val="21"/>
                <w:highlight w:val="none"/>
              </w:rPr>
              <w:t>1</w:t>
            </w:r>
          </w:p>
        </w:tc>
        <w:tc>
          <w:tcPr>
            <w:tcW w:w="752"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0</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w:t>
            </w:r>
          </w:p>
        </w:tc>
        <w:tc>
          <w:tcPr>
            <w:tcW w:w="761" w:type="dxa"/>
            <w:vMerge w:val="continue"/>
            <w:tcBorders>
              <w:top w:val="single" w:color="auto" w:sz="4" w:space="0"/>
              <w:left w:val="single" w:color="auto" w:sz="4" w:space="0"/>
              <w:bottom w:val="single" w:color="auto" w:sz="4" w:space="0"/>
              <w:right w:val="single" w:color="000000" w:sz="4" w:space="0"/>
            </w:tcBorders>
            <w:vAlign w:val="center"/>
          </w:tcPr>
          <w:p>
            <w:pPr>
              <w:spacing w:line="440" w:lineRule="exact"/>
              <w:jc w:val="center"/>
              <w:rPr>
                <w:rFonts w:hint="eastAsia" w:ascii="宋体" w:hAnsi="宋体" w:cs="宋体"/>
                <w:bCs/>
                <w:color w:val="auto"/>
                <w:sz w:val="24"/>
                <w:szCs w:val="24"/>
                <w:highlight w:val="none"/>
              </w:rPr>
            </w:pPr>
          </w:p>
        </w:tc>
      </w:tr>
      <w:tr>
        <w:tblPrEx>
          <w:tblLayout w:type="fixed"/>
          <w:tblCellMar>
            <w:top w:w="0" w:type="dxa"/>
            <w:left w:w="108" w:type="dxa"/>
            <w:bottom w:w="0" w:type="dxa"/>
            <w:right w:w="108" w:type="dxa"/>
          </w:tblCellMar>
        </w:tblPrEx>
        <w:trPr>
          <w:trHeight w:val="567" w:hRule="atLeast"/>
          <w:jc w:val="center"/>
        </w:trPr>
        <w:tc>
          <w:tcPr>
            <w:tcW w:w="534" w:type="dxa"/>
            <w:tcBorders>
              <w:top w:val="single" w:color="000000" w:sz="4" w:space="0"/>
              <w:left w:val="single" w:color="000000" w:sz="4" w:space="0"/>
              <w:bottom w:val="single" w:color="000000" w:sz="4" w:space="0"/>
              <w:right w:val="single" w:color="000000" w:sz="4" w:space="0"/>
            </w:tcBorders>
            <w:vAlign w:val="center"/>
          </w:tcPr>
          <w:p>
            <w:pPr>
              <w:pStyle w:val="7"/>
              <w:kinsoku w:val="0"/>
              <w:overflowPunct w:val="0"/>
              <w:spacing w:line="2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Cs/>
                <w:color w:val="auto"/>
                <w:szCs w:val="21"/>
                <w:highlight w:val="none"/>
              </w:rPr>
            </w:pPr>
            <w:r>
              <w:rPr>
                <w:rFonts w:hint="eastAsia" w:ascii="宋体" w:hAnsi="宋体" w:cs="宋体"/>
                <w:color w:val="auto"/>
                <w:szCs w:val="21"/>
                <w:highlight w:val="none"/>
              </w:rPr>
              <w:t>运输梁拖车</w:t>
            </w:r>
          </w:p>
        </w:tc>
        <w:tc>
          <w:tcPr>
            <w:tcW w:w="151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bCs/>
                <w:color w:val="auto"/>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107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cs="宋体"/>
                <w:bCs/>
                <w:color w:val="auto"/>
                <w:szCs w:val="21"/>
                <w:highlight w:val="none"/>
              </w:rPr>
            </w:pPr>
            <w:r>
              <w:rPr>
                <w:rFonts w:ascii="宋体" w:hAnsi="宋体" w:cs="宋体"/>
                <w:bCs/>
                <w:color w:val="auto"/>
                <w:szCs w:val="21"/>
                <w:highlight w:val="none"/>
              </w:rPr>
              <w:t>3</w:t>
            </w:r>
          </w:p>
        </w:tc>
        <w:tc>
          <w:tcPr>
            <w:tcW w:w="752"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cs="宋体"/>
                <w:bCs/>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bCs/>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bCs/>
                <w:color w:val="auto"/>
                <w:szCs w:val="21"/>
                <w:highlight w:val="none"/>
              </w:rPr>
            </w:pPr>
          </w:p>
        </w:tc>
        <w:tc>
          <w:tcPr>
            <w:tcW w:w="761" w:type="dxa"/>
            <w:vMerge w:val="continue"/>
            <w:tcBorders>
              <w:top w:val="single" w:color="auto" w:sz="4" w:space="0"/>
              <w:left w:val="single" w:color="auto" w:sz="4" w:space="0"/>
              <w:bottom w:val="single" w:color="auto" w:sz="4" w:space="0"/>
              <w:right w:val="single" w:color="000000" w:sz="4" w:space="0"/>
            </w:tcBorders>
            <w:vAlign w:val="center"/>
          </w:tcPr>
          <w:p>
            <w:pPr>
              <w:spacing w:line="440" w:lineRule="exact"/>
              <w:jc w:val="center"/>
              <w:rPr>
                <w:rFonts w:hint="eastAsia" w:ascii="宋体" w:hAnsi="宋体" w:cs="宋体"/>
                <w:bCs/>
                <w:color w:val="auto"/>
                <w:sz w:val="24"/>
                <w:szCs w:val="24"/>
                <w:highlight w:val="none"/>
              </w:rPr>
            </w:pPr>
          </w:p>
        </w:tc>
      </w:tr>
    </w:tbl>
    <w:p>
      <w:pPr>
        <w:pStyle w:val="8"/>
        <w:tabs>
          <w:tab w:val="right" w:leader="dot" w:pos="8306"/>
        </w:tabs>
        <w:jc w:val="center"/>
        <w:rPr>
          <w:rFonts w:hint="eastAsia" w:ascii="仿宋" w:hAnsi="仿宋" w:eastAsia="仿宋" w:cs="仿宋"/>
          <w:b/>
          <w:color w:val="auto"/>
          <w:sz w:val="28"/>
          <w:szCs w:val="28"/>
          <w:highlight w:val="none"/>
          <w:lang w:bidi="ar"/>
        </w:rPr>
      </w:pPr>
    </w:p>
    <w:p>
      <w:pPr>
        <w:pStyle w:val="8"/>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注：1、若监理工程师或招标人认为投标人配备的机械设备不能满足现场施工的需要，或不能保证工程质量和进度时，招标人有权要求投标人</w:t>
      </w:r>
      <w:r>
        <w:rPr>
          <w:rFonts w:hint="eastAsia" w:ascii="仿宋" w:hAnsi="仿宋" w:eastAsia="仿宋" w:cs="仿宋"/>
          <w:b w:val="0"/>
          <w:bCs/>
          <w:color w:val="auto"/>
          <w:sz w:val="24"/>
          <w:szCs w:val="24"/>
          <w:highlight w:val="none"/>
          <w:lang w:val="en-US" w:eastAsia="zh-CN" w:bidi="ar"/>
        </w:rPr>
        <w:t>无条件</w:t>
      </w:r>
      <w:r>
        <w:rPr>
          <w:rFonts w:hint="eastAsia" w:ascii="仿宋" w:hAnsi="仿宋" w:eastAsia="仿宋" w:cs="仿宋"/>
          <w:b w:val="0"/>
          <w:bCs/>
          <w:color w:val="auto"/>
          <w:sz w:val="24"/>
          <w:szCs w:val="24"/>
          <w:highlight w:val="none"/>
          <w:lang w:bidi="ar"/>
        </w:rPr>
        <w:t>增加。</w:t>
      </w:r>
    </w:p>
    <w:p>
      <w:pPr>
        <w:pStyle w:val="8"/>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2、本表中的总数量为</w:t>
      </w:r>
      <w:r>
        <w:rPr>
          <w:rFonts w:hint="eastAsia" w:ascii="仿宋" w:hAnsi="仿宋" w:eastAsia="仿宋" w:cs="仿宋"/>
          <w:b w:val="0"/>
          <w:bCs/>
          <w:color w:val="auto"/>
          <w:sz w:val="24"/>
          <w:szCs w:val="24"/>
          <w:highlight w:val="none"/>
          <w:lang w:val="en-US" w:eastAsia="zh-CN" w:bidi="ar"/>
        </w:rPr>
        <w:t>投标人</w:t>
      </w:r>
      <w:r>
        <w:rPr>
          <w:rFonts w:hint="eastAsia" w:ascii="仿宋" w:hAnsi="仿宋" w:eastAsia="仿宋" w:cs="仿宋"/>
          <w:b w:val="0"/>
          <w:bCs/>
          <w:color w:val="auto"/>
          <w:sz w:val="24"/>
          <w:szCs w:val="24"/>
          <w:highlight w:val="none"/>
          <w:lang w:bidi="ar"/>
        </w:rPr>
        <w:t>中标后向</w:t>
      </w:r>
      <w:r>
        <w:rPr>
          <w:rFonts w:hint="eastAsia" w:ascii="仿宋" w:hAnsi="仿宋" w:eastAsia="仿宋" w:cs="仿宋"/>
          <w:b w:val="0"/>
          <w:bCs/>
          <w:color w:val="auto"/>
          <w:sz w:val="24"/>
          <w:szCs w:val="24"/>
          <w:highlight w:val="none"/>
          <w:lang w:val="en-US" w:eastAsia="zh-CN" w:bidi="ar"/>
        </w:rPr>
        <w:t>招标人</w:t>
      </w:r>
      <w:r>
        <w:rPr>
          <w:rFonts w:hint="eastAsia" w:ascii="仿宋" w:hAnsi="仿宋" w:eastAsia="仿宋" w:cs="仿宋"/>
          <w:b w:val="0"/>
          <w:bCs/>
          <w:color w:val="auto"/>
          <w:sz w:val="24"/>
          <w:szCs w:val="24"/>
          <w:highlight w:val="none"/>
          <w:lang w:bidi="ar"/>
        </w:rPr>
        <w:t>承诺的投入最低设备数量及型号要求，并以书面形式纳入合同附件。</w:t>
      </w:r>
    </w:p>
    <w:p>
      <w:pPr>
        <w:pStyle w:val="8"/>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3、所有设备要求证照齐全。</w:t>
      </w:r>
    </w:p>
    <w:p>
      <w:pPr>
        <w:pStyle w:val="8"/>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4、除满足以上设备要求外，还需按照业主要求配备相应的环保设施。</w:t>
      </w:r>
    </w:p>
    <w:p>
      <w:pPr>
        <w:rPr>
          <w:color w:val="auto"/>
          <w:highlight w:val="none"/>
        </w:rPr>
      </w:pPr>
      <w:r>
        <w:rPr>
          <w:rFonts w:hint="eastAsia" w:ascii="仿宋" w:hAnsi="仿宋" w:eastAsia="仿宋" w:cs="仿宋"/>
          <w:b w:val="0"/>
          <w:bCs/>
          <w:color w:val="auto"/>
          <w:sz w:val="24"/>
          <w:szCs w:val="24"/>
          <w:highlight w:val="none"/>
          <w:lang w:val="en-US" w:eastAsia="zh-CN" w:bidi="ar"/>
        </w:rPr>
        <w:t>5、钢箱梁制作设备及其相应安装设备由协作单位自行配备。</w:t>
      </w:r>
      <w:bookmarkEnd w:id="0"/>
    </w:p>
    <w:p>
      <w:bookmarkStart w:id="1" w:name="_GoBack"/>
      <w:bookmarkEnd w:id="1"/>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auto"/>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858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6" name="组合 1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305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EykW62QAAAAwBAAAPAAAAAAAAAAEAIAAA&#10;ACIAAABkcnMvZG93bnJldi54bWxQSwECFAAUAAAACACHTuJAnnTMwX0CAACCBQAADgAAAAAAAAAB&#10;ACAAAAAoAQAAZHJzL2Uyb0RvYy54bWxQSwUGAAAAAAYABgBZAQAAFw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869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 xml:space="preserve"> 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2956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jmSQqMBAAA0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 xml:space="preserve"> 四川省交通建设集团股份有限公司</w:t>
                    </w:r>
                  </w:p>
                </w:txbxContent>
              </v:textbox>
            </v:shape>
          </w:pict>
        </mc:Fallback>
      </mc:AlternateContent>
    </w:r>
    <w:r>
      <mc:AlternateContent>
        <mc:Choice Requires="wps">
          <w:drawing>
            <wp:anchor distT="0" distB="0" distL="114300" distR="114300" simplePos="0" relativeHeight="251687936" behindDoc="1" locked="0" layoutInCell="1" allowOverlap="1">
              <wp:simplePos x="0" y="0"/>
              <wp:positionH relativeFrom="page">
                <wp:posOffset>4940935</wp:posOffset>
              </wp:positionH>
              <wp:positionV relativeFrom="page">
                <wp:posOffset>542925</wp:posOffset>
              </wp:positionV>
              <wp:extent cx="1570355"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70355"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钢箱梁专业分包</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23.65pt;mso-position-horizontal-relative:page;mso-position-vertical-relative:page;z-index:-251628544;mso-width-relative:page;mso-height-relative:page;" filled="f" stroked="f" coordsize="21600,21600" o:gfxdata="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pNTdt2QAAAAsBAAAP&#10;AAAAAAAAAAEAIAAAACIAAABkcnMvZG93bnJldi54bWxQSwECFAAUAAAACACHTuJAH+up26UBAAA0&#10;AwAADgAAAAAAAAABACAAAAAoAQAAZHJzL2Uyb0RvYy54bWxQSwUGAAAAAAYABgBZAQAAPw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钢箱梁专业分包</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EF28F2"/>
    <w:rsid w:val="0EEF2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character" w:customStyle="1" w:styleId="9">
    <w:name w:val="font1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2021-03-17T10:02:00Z</dcterms:created>
  <dc:creator>钟明娟</dc:creator>
  <cp:lastModifiedBy>钟明娟</cp:lastModifiedBy>
  <dcterms:modified xsi:type="dcterms:W3CDTF">2021-03-17T10:02:23Z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