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79"/>
        <w:ind w:left="960"/>
        <w:rPr>
          <w:b/>
          <w:sz w:val="24"/>
        </w:rPr>
      </w:pPr>
      <w:r>
        <w:rPr>
          <w:b/>
          <w:sz w:val="24"/>
        </w:rPr>
        <w:t>附表一</w:t>
      </w:r>
    </w:p>
    <w:p>
      <w:pPr>
        <w:pStyle w:val="4"/>
        <w:spacing w:before="3"/>
        <w:ind w:left="-1742" w:leftChars="-800" w:right="-48" w:rightChars="-22" w:hanging="18" w:hangingChars="9"/>
        <w:jc w:val="center"/>
      </w:pPr>
      <w:r>
        <w:br w:type="column"/>
      </w:r>
    </w:p>
    <w:p>
      <w:pPr>
        <w:pStyle w:val="4"/>
        <w:spacing w:before="3"/>
        <w:ind w:left="-1738" w:leftChars="-800" w:right="-48" w:rightChars="-22" w:hanging="22" w:hangingChars="9"/>
        <w:jc w:val="center"/>
        <w:rPr>
          <w:rFonts w:ascii="微软雅黑" w:eastAsia="微软雅黑"/>
          <w:b/>
          <w:sz w:val="24"/>
        </w:rPr>
      </w:pPr>
      <w:r>
        <w:rPr>
          <w:rFonts w:hint="eastAsia" w:ascii="黑体" w:hAnsi="黑体" w:eastAsia="黑体" w:cs="黑体"/>
          <w:b/>
          <w:sz w:val="24"/>
        </w:rPr>
        <w:t>G4216线屏山新市至金阳段高速公路项目隧道超前地质</w:t>
      </w:r>
      <w:r>
        <w:rPr>
          <w:rFonts w:hint="eastAsia" w:ascii="黑体" w:hAnsi="黑体" w:eastAsia="黑体" w:cs="黑体"/>
          <w:b/>
          <w:sz w:val="24"/>
          <w:lang w:val="en-US"/>
        </w:rPr>
        <w:t>钻探、瓦斯监测</w:t>
      </w:r>
      <w:r>
        <w:rPr>
          <w:rFonts w:hint="eastAsia" w:ascii="黑体" w:hAnsi="黑体" w:eastAsia="黑体" w:cs="黑体"/>
          <w:b/>
          <w:sz w:val="24"/>
        </w:rPr>
        <w:t>主要工作内容表</w:t>
      </w:r>
    </w:p>
    <w:p>
      <w:pPr>
        <w:ind w:left="-220" w:leftChars="-100" w:firstLine="3835" w:firstLineChars="1598"/>
        <w:rPr>
          <w:rFonts w:ascii="Times New Roman"/>
          <w:sz w:val="24"/>
        </w:rPr>
        <w:sectPr>
          <w:footerReference r:id="rId3" w:type="default"/>
          <w:pgSz w:w="16840" w:h="11910" w:orient="landscape"/>
          <w:pgMar w:top="1100" w:right="920" w:bottom="280" w:left="880" w:header="0" w:footer="0" w:gutter="0"/>
          <w:cols w:equalWidth="0" w:num="2">
            <w:col w:w="1724" w:space="165"/>
            <w:col w:w="13151"/>
          </w:cols>
        </w:sectPr>
      </w:pPr>
    </w:p>
    <w:tbl>
      <w:tblPr>
        <w:tblStyle w:val="7"/>
        <w:tblW w:w="14841" w:type="dxa"/>
        <w:tblInd w:w="1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1"/>
        <w:gridCol w:w="703"/>
        <w:gridCol w:w="1749"/>
        <w:gridCol w:w="1418"/>
        <w:gridCol w:w="4252"/>
        <w:gridCol w:w="4820"/>
        <w:gridCol w:w="105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841" w:type="dxa"/>
          </w:tcPr>
          <w:p>
            <w:pPr>
              <w:pStyle w:val="8"/>
              <w:spacing w:before="163"/>
              <w:ind w:firstLine="180" w:firstLineChars="10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包件号</w:t>
            </w:r>
          </w:p>
        </w:tc>
        <w:tc>
          <w:tcPr>
            <w:tcW w:w="703" w:type="dxa"/>
          </w:tcPr>
          <w:p>
            <w:pPr>
              <w:pStyle w:val="8"/>
              <w:spacing w:before="107" w:line="211" w:lineRule="auto"/>
              <w:ind w:left="163" w:right="85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监测标段</w:t>
            </w:r>
          </w:p>
        </w:tc>
        <w:tc>
          <w:tcPr>
            <w:tcW w:w="1749" w:type="dxa"/>
          </w:tcPr>
          <w:p>
            <w:pPr>
              <w:pStyle w:val="8"/>
              <w:spacing w:before="165"/>
              <w:ind w:left="38" w:right="83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服务范围起止桩号</w:t>
            </w:r>
          </w:p>
        </w:tc>
        <w:tc>
          <w:tcPr>
            <w:tcW w:w="1418" w:type="dxa"/>
          </w:tcPr>
          <w:p>
            <w:pPr>
              <w:pStyle w:val="8"/>
              <w:spacing w:before="165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施工标段</w:t>
            </w:r>
          </w:p>
        </w:tc>
        <w:tc>
          <w:tcPr>
            <w:tcW w:w="4252" w:type="dxa"/>
          </w:tcPr>
          <w:p>
            <w:pPr>
              <w:pStyle w:val="8"/>
              <w:spacing w:before="165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主要工程规模（m）</w:t>
            </w:r>
          </w:p>
        </w:tc>
        <w:tc>
          <w:tcPr>
            <w:tcW w:w="4820" w:type="dxa"/>
          </w:tcPr>
          <w:p>
            <w:pPr>
              <w:pStyle w:val="8"/>
              <w:spacing w:before="165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主要工作内容</w:t>
            </w:r>
          </w:p>
        </w:tc>
        <w:tc>
          <w:tcPr>
            <w:tcW w:w="1058" w:type="dxa"/>
            <w:vAlign w:val="center"/>
          </w:tcPr>
          <w:p>
            <w:pPr>
              <w:pStyle w:val="8"/>
              <w:spacing w:line="267" w:lineRule="exact"/>
              <w:ind w:right="-131"/>
              <w:jc w:val="center"/>
              <w:rPr>
                <w:sz w:val="18"/>
                <w:szCs w:val="18"/>
                <w:lang w:val="en-US"/>
              </w:rPr>
            </w:pPr>
            <w:r>
              <w:rPr>
                <w:rFonts w:hint="eastAsia"/>
                <w:sz w:val="18"/>
                <w:szCs w:val="18"/>
                <w:lang w:val="en-US"/>
              </w:rPr>
              <w:t>施工工期（月）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4" w:hRule="atLeast"/>
        </w:trPr>
        <w:tc>
          <w:tcPr>
            <w:tcW w:w="841" w:type="dxa"/>
            <w:tcBorders>
              <w:bottom w:val="single" w:color="auto" w:sz="4" w:space="0"/>
            </w:tcBorders>
            <w:vAlign w:val="center"/>
          </w:tcPr>
          <w:p>
            <w:pPr>
              <w:pStyle w:val="8"/>
              <w:spacing w:before="118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包件一</w:t>
            </w:r>
          </w:p>
        </w:tc>
        <w:tc>
          <w:tcPr>
            <w:tcW w:w="703" w:type="dxa"/>
            <w:tcBorders>
              <w:bottom w:val="single" w:color="auto" w:sz="4" w:space="0"/>
            </w:tcBorders>
            <w:vAlign w:val="center"/>
          </w:tcPr>
          <w:p>
            <w:pPr>
              <w:pStyle w:val="8"/>
              <w:spacing w:before="1"/>
              <w:jc w:val="center"/>
              <w:rPr>
                <w:sz w:val="18"/>
                <w:szCs w:val="18"/>
                <w:lang w:val="en-US"/>
              </w:rPr>
            </w:pPr>
            <w:r>
              <w:rPr>
                <w:rFonts w:hint="eastAsia"/>
                <w:sz w:val="18"/>
                <w:szCs w:val="18"/>
                <w:lang w:val="en-US"/>
              </w:rPr>
              <w:t>SDZT1</w:t>
            </w:r>
          </w:p>
        </w:tc>
        <w:tc>
          <w:tcPr>
            <w:tcW w:w="1749" w:type="dxa"/>
            <w:tcBorders>
              <w:bottom w:val="single" w:color="auto" w:sz="4" w:space="0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5" w:lineRule="auto"/>
              <w:ind w:left="6" w:right="-17"/>
              <w:jc w:val="center"/>
              <w:textAlignment w:val="auto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/>
              </w:rPr>
              <w:t>SK1+918～SK2+309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、MLK0+253～MLK1+481、MLK2+765～MLK7+500、K21+790</w:t>
            </w:r>
            <w:r>
              <w:rPr>
                <w:rFonts w:hint="eastAsia"/>
                <w:sz w:val="18"/>
                <w:szCs w:val="18"/>
                <w:lang w:val="en-US"/>
              </w:rPr>
              <w:t>～K45+152</w:t>
            </w:r>
          </w:p>
        </w:tc>
        <w:tc>
          <w:tcPr>
            <w:tcW w:w="1418" w:type="dxa"/>
            <w:tcBorders>
              <w:bottom w:val="single" w:color="auto" w:sz="4" w:space="0"/>
            </w:tcBorders>
            <w:vAlign w:val="center"/>
          </w:tcPr>
          <w:p>
            <w:pPr>
              <w:pStyle w:val="8"/>
              <w:spacing w:before="1"/>
              <w:ind w:left="186" w:right="177"/>
              <w:jc w:val="center"/>
              <w:rPr>
                <w:sz w:val="18"/>
                <w:szCs w:val="18"/>
                <w:lang w:val="en-US"/>
              </w:rPr>
            </w:pPr>
            <w:r>
              <w:rPr>
                <w:rFonts w:hint="eastAsia"/>
                <w:sz w:val="18"/>
                <w:szCs w:val="18"/>
                <w:lang w:val="en-US"/>
              </w:rPr>
              <w:t>ZX1、XJ5、XJ6、XJ7、XJ8</w:t>
            </w:r>
          </w:p>
        </w:tc>
        <w:tc>
          <w:tcPr>
            <w:tcW w:w="4252" w:type="dxa"/>
            <w:tcBorders>
              <w:bottom w:val="single" w:color="auto" w:sz="4" w:space="0"/>
            </w:tcBorders>
            <w:vAlign w:val="center"/>
          </w:tcPr>
          <w:p>
            <w:pPr>
              <w:pStyle w:val="8"/>
              <w:wordWrap w:val="0"/>
              <w:spacing w:before="2" w:line="252" w:lineRule="exact"/>
              <w:ind w:left="132" w:right="201"/>
              <w:jc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/>
              </w:rPr>
              <w:t>桃子湾连拱隧道（391.5m）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、</w:t>
            </w:r>
            <w:r>
              <w:rPr>
                <w:rFonts w:hint="eastAsia"/>
                <w:sz w:val="18"/>
                <w:szCs w:val="18"/>
                <w:lang w:val="en-US"/>
              </w:rPr>
              <w:t>谢家湾隧道出口（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2123.5</w:t>
            </w:r>
            <w:r>
              <w:rPr>
                <w:rFonts w:hint="eastAsia"/>
                <w:sz w:val="18"/>
                <w:szCs w:val="18"/>
                <w:lang w:val="en-US"/>
              </w:rPr>
              <w:t>m）、碾坊坪隧道（1619.5m）、新街隧道（1956.5m）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、</w:t>
            </w:r>
            <w:r>
              <w:rPr>
                <w:rFonts w:hint="eastAsia"/>
                <w:sz w:val="18"/>
                <w:szCs w:val="18"/>
                <w:lang w:val="en-US"/>
              </w:rPr>
              <w:t>柑子坪隧道（4184.5m）、白岩沟隧道（569.5m）、双河连拱隧道（333.25m）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、</w:t>
            </w:r>
            <w:r>
              <w:rPr>
                <w:rFonts w:hint="eastAsia"/>
                <w:sz w:val="18"/>
                <w:szCs w:val="18"/>
                <w:lang w:val="en-US"/>
              </w:rPr>
              <w:t>马湖1号隧道（1228m）、马湖2号隧道（4735m）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、</w:t>
            </w:r>
            <w:r>
              <w:rPr>
                <w:rFonts w:hint="eastAsia"/>
                <w:sz w:val="18"/>
                <w:szCs w:val="18"/>
                <w:lang w:val="en-US"/>
              </w:rPr>
              <w:t>锦屏隧道进口（4660.5m）</w:t>
            </w:r>
          </w:p>
        </w:tc>
        <w:tc>
          <w:tcPr>
            <w:tcW w:w="4820" w:type="dxa"/>
            <w:tcBorders>
              <w:bottom w:val="single" w:color="auto" w:sz="4" w:space="0"/>
            </w:tcBorders>
            <w:vAlign w:val="center"/>
          </w:tcPr>
          <w:p>
            <w:pPr>
              <w:spacing w:line="280" w:lineRule="exact"/>
              <w:ind w:firstLine="181" w:firstLineChars="100"/>
              <w:jc w:val="both"/>
              <w:rPr>
                <w:sz w:val="18"/>
                <w:szCs w:val="18"/>
                <w:lang w:val="en-US"/>
              </w:rPr>
            </w:pPr>
            <w:r>
              <w:rPr>
                <w:rFonts w:hint="eastAsia"/>
                <w:b/>
                <w:bCs/>
                <w:sz w:val="18"/>
                <w:szCs w:val="18"/>
                <w:lang w:val="en-US"/>
              </w:rPr>
              <w:t>隧道超前瓦斯钻孔及瓦斯监测</w:t>
            </w:r>
          </w:p>
          <w:p>
            <w:pPr>
              <w:pStyle w:val="8"/>
              <w:spacing w:line="280" w:lineRule="exact"/>
              <w:jc w:val="both"/>
              <w:rPr>
                <w:sz w:val="18"/>
                <w:szCs w:val="18"/>
                <w:lang w:val="en-US"/>
              </w:rPr>
            </w:pPr>
            <w:r>
              <w:rPr>
                <w:rFonts w:hint="eastAsia"/>
                <w:sz w:val="18"/>
                <w:szCs w:val="18"/>
                <w:lang w:val="en-US"/>
              </w:rPr>
              <w:t>（1）对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所有</w:t>
            </w:r>
            <w:r>
              <w:rPr>
                <w:rFonts w:hint="eastAsia"/>
                <w:sz w:val="18"/>
                <w:szCs w:val="18"/>
                <w:lang w:val="en-US"/>
              </w:rPr>
              <w:t>隧道按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照</w:t>
            </w:r>
            <w:r>
              <w:rPr>
                <w:rFonts w:hint="eastAsia"/>
                <w:sz w:val="18"/>
                <w:szCs w:val="18"/>
                <w:lang w:val="en-US"/>
              </w:rPr>
              <w:t>每个隧道“一孔到底”进行超前水平钻孔，对瓦斯隧道钻孔不小于3个；</w:t>
            </w:r>
          </w:p>
          <w:p>
            <w:pPr>
              <w:pStyle w:val="8"/>
              <w:spacing w:line="280" w:lineRule="exact"/>
              <w:jc w:val="both"/>
              <w:rPr>
                <w:sz w:val="18"/>
                <w:szCs w:val="18"/>
                <w:lang w:val="en-US"/>
              </w:rPr>
            </w:pPr>
            <w:r>
              <w:rPr>
                <w:rFonts w:hint="eastAsia"/>
                <w:sz w:val="18"/>
                <w:szCs w:val="18"/>
                <w:lang w:val="en-US"/>
              </w:rPr>
              <w:t>（2）根据钻孔经验判断可能出现的瓦斯情况，计算瓦斯涌出量、压力值、衰减系数；根据每循环施工检测的瓦斯相关系数鉴定瓦斯等级并出具有资质的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/>
              </w:rPr>
              <w:t>《瓦斯等级鉴定》</w:t>
            </w:r>
            <w:r>
              <w:rPr>
                <w:rFonts w:hint="eastAsia"/>
                <w:color w:val="auto"/>
                <w:sz w:val="18"/>
                <w:szCs w:val="18"/>
                <w:lang w:val="en-US"/>
              </w:rPr>
              <w:t>报告；根据鉴定的瓦斯等级或设计文件提及的瓦斯等级出具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/>
              </w:rPr>
              <w:t>全线瓦斯隧道的《瓦斯安防设计》</w:t>
            </w:r>
            <w:r>
              <w:rPr>
                <w:rFonts w:hint="eastAsia"/>
                <w:color w:val="auto"/>
                <w:sz w:val="18"/>
                <w:szCs w:val="18"/>
                <w:lang w:val="en-US"/>
              </w:rPr>
              <w:t>，并组织专家参加五方评审；根据安防设计对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/>
              </w:rPr>
              <w:t>全线瓦斯隧道</w:t>
            </w:r>
            <w:r>
              <w:rPr>
                <w:rFonts w:hint="eastAsia"/>
                <w:color w:val="auto"/>
                <w:sz w:val="18"/>
                <w:szCs w:val="18"/>
                <w:lang w:val="en-US"/>
              </w:rPr>
              <w:t>进行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/>
              </w:rPr>
              <w:t>《通风专项设计》</w:t>
            </w:r>
            <w:r>
              <w:rPr>
                <w:rFonts w:hint="eastAsia"/>
                <w:color w:val="auto"/>
                <w:sz w:val="18"/>
                <w:szCs w:val="18"/>
                <w:lang w:val="en-US"/>
              </w:rPr>
              <w:t>；每座瓦斯隧道单个洞口（含左右线）配备不小于3人的专业瓦</w:t>
            </w:r>
            <w:r>
              <w:rPr>
                <w:rFonts w:hint="eastAsia"/>
                <w:sz w:val="18"/>
                <w:szCs w:val="18"/>
                <w:lang w:val="en-US"/>
              </w:rPr>
              <w:t>检人员（含手持式光干检测设备），满足《</w:t>
            </w:r>
            <w:r>
              <w:rPr>
                <w:sz w:val="18"/>
                <w:szCs w:val="18"/>
                <w:lang w:val="en-US"/>
              </w:rPr>
              <w:t>公路瓦斯隧道设计与施工技术规范</w:t>
            </w:r>
            <w:r>
              <w:rPr>
                <w:rFonts w:hint="eastAsia"/>
                <w:sz w:val="18"/>
                <w:szCs w:val="18"/>
                <w:lang w:val="en-US"/>
              </w:rPr>
              <w:t>》</w:t>
            </w:r>
            <w:r>
              <w:rPr>
                <w:sz w:val="18"/>
                <w:szCs w:val="18"/>
                <w:lang w:val="en-US"/>
              </w:rPr>
              <w:t>JTG／T 3374-2020</w:t>
            </w:r>
            <w:r>
              <w:rPr>
                <w:rFonts w:hint="eastAsia"/>
                <w:sz w:val="18"/>
                <w:szCs w:val="18"/>
                <w:lang w:val="en-US"/>
              </w:rPr>
              <w:t>版检测频率要求并做好相关的监测资料，每座瓦斯隧道单个洞口原则上配备一名通风工程师，对施工通风效果进行监测。</w:t>
            </w:r>
          </w:p>
          <w:p>
            <w:pPr>
              <w:pStyle w:val="8"/>
              <w:spacing w:line="280" w:lineRule="exact"/>
              <w:jc w:val="both"/>
              <w:rPr>
                <w:sz w:val="18"/>
                <w:szCs w:val="18"/>
                <w:lang w:val="en-US"/>
              </w:rPr>
            </w:pPr>
            <w:r>
              <w:rPr>
                <w:rFonts w:hint="eastAsia"/>
                <w:sz w:val="18"/>
                <w:szCs w:val="18"/>
                <w:lang w:val="en-US"/>
              </w:rPr>
              <w:t>（3）提交钻孔检测资料及瓦斯监测成果报告。</w:t>
            </w:r>
          </w:p>
        </w:tc>
        <w:tc>
          <w:tcPr>
            <w:tcW w:w="1058" w:type="dxa"/>
            <w:tcBorders>
              <w:bottom w:val="single" w:color="auto" w:sz="4" w:space="0"/>
            </w:tcBorders>
            <w:vAlign w:val="center"/>
          </w:tcPr>
          <w:p>
            <w:pPr>
              <w:pStyle w:val="8"/>
              <w:jc w:val="center"/>
              <w:rPr>
                <w:bCs/>
                <w:sz w:val="18"/>
                <w:szCs w:val="18"/>
                <w:lang w:val="en-US"/>
              </w:rPr>
            </w:pPr>
            <w:r>
              <w:rPr>
                <w:rFonts w:hint="eastAsia"/>
                <w:bCs/>
                <w:sz w:val="18"/>
                <w:szCs w:val="18"/>
              </w:rPr>
              <w:t>5</w:t>
            </w:r>
            <w:r>
              <w:rPr>
                <w:rFonts w:hint="eastAsia"/>
                <w:bCs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/>
                <w:bCs/>
                <w:sz w:val="18"/>
                <w:szCs w:val="18"/>
                <w:lang w:val="en-US"/>
              </w:rPr>
              <w:t>个月</w:t>
            </w:r>
          </w:p>
          <w:p>
            <w:pPr>
              <w:pStyle w:val="8"/>
              <w:spacing w:before="116"/>
              <w:ind w:right="187"/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3" w:hRule="atLeast"/>
        </w:trPr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157"/>
              <w:jc w:val="center"/>
              <w:rPr>
                <w:sz w:val="18"/>
                <w:szCs w:val="18"/>
                <w:lang w:val="en-US"/>
              </w:rPr>
            </w:pPr>
            <w:r>
              <w:rPr>
                <w:rFonts w:hint="eastAsia"/>
                <w:sz w:val="18"/>
                <w:szCs w:val="18"/>
              </w:rPr>
              <w:t>包件</w:t>
            </w:r>
            <w:r>
              <w:rPr>
                <w:rFonts w:hint="eastAsia"/>
                <w:sz w:val="18"/>
                <w:szCs w:val="18"/>
                <w:lang w:val="en-US"/>
              </w:rPr>
              <w:t>二</w:t>
            </w:r>
          </w:p>
        </w:tc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jc w:val="center"/>
              <w:rPr>
                <w:sz w:val="18"/>
                <w:szCs w:val="18"/>
                <w:lang w:val="en-US"/>
              </w:rPr>
            </w:pPr>
            <w:r>
              <w:rPr>
                <w:rFonts w:hint="eastAsia"/>
                <w:sz w:val="18"/>
                <w:szCs w:val="18"/>
                <w:lang w:val="en-US"/>
              </w:rPr>
              <w:t>SDZT2</w:t>
            </w:r>
          </w:p>
        </w:tc>
        <w:tc>
          <w:tcPr>
            <w:tcW w:w="1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ind w:left="38" w:right="28"/>
              <w:jc w:val="center"/>
              <w:rPr>
                <w:sz w:val="18"/>
                <w:szCs w:val="18"/>
                <w:lang w:val="en-US"/>
              </w:rPr>
            </w:pPr>
            <w:r>
              <w:rPr>
                <w:rFonts w:hint="eastAsia"/>
                <w:sz w:val="18"/>
                <w:szCs w:val="18"/>
                <w:lang w:val="en-US"/>
              </w:rPr>
              <w:t>K45+152～K125+300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ind w:left="186" w:right="180"/>
              <w:jc w:val="center"/>
              <w:rPr>
                <w:sz w:val="18"/>
                <w:szCs w:val="18"/>
                <w:lang w:val="en-US"/>
              </w:rPr>
            </w:pPr>
            <w:r>
              <w:rPr>
                <w:rFonts w:hint="eastAsia"/>
                <w:sz w:val="18"/>
                <w:szCs w:val="18"/>
                <w:lang w:val="en-US"/>
              </w:rPr>
              <w:t>XJ9、XJ10、XJ11、J14、XJ16、J17、XJ20、XJ21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wordWrap w:val="0"/>
              <w:spacing w:before="5"/>
              <w:ind w:left="211" w:right="201"/>
              <w:jc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/>
              </w:rPr>
              <w:t>锦屏隧道出口（5265.5m）、向阳隧道（3096m）、黑林岰隧道（881m）、米田村隧道（1033m）、马鞍山隧道出口（3126.5m）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、</w:t>
            </w:r>
            <w:r>
              <w:rPr>
                <w:rFonts w:hint="eastAsia"/>
                <w:sz w:val="18"/>
                <w:szCs w:val="18"/>
                <w:lang w:val="en-US"/>
              </w:rPr>
              <w:t>西苏角1号隧道（607m）、西苏角3号隧道出口（1265m）、丰家坪连拱隧道（290m）、核桃坪隧道（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6044.5</w:t>
            </w:r>
            <w:r>
              <w:rPr>
                <w:rFonts w:hint="eastAsia"/>
                <w:sz w:val="18"/>
                <w:szCs w:val="18"/>
                <w:lang w:val="en-US"/>
              </w:rPr>
              <w:t>m）、溜筒河隧道（2373m）、元宝山隧道出口（2353m）、热水河1号隧道（3480.5m）、热水河2号隧道（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3363.5</w:t>
            </w:r>
            <w:r>
              <w:rPr>
                <w:rFonts w:hint="eastAsia"/>
                <w:sz w:val="18"/>
                <w:szCs w:val="18"/>
                <w:lang w:val="en-US"/>
              </w:rPr>
              <w:t>m）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、</w:t>
            </w:r>
            <w:r>
              <w:rPr>
                <w:rFonts w:hint="eastAsia"/>
                <w:sz w:val="18"/>
                <w:szCs w:val="18"/>
                <w:lang w:val="en-US"/>
              </w:rPr>
              <w:t>伊莫洛隧道进口（2241m）</w:t>
            </w:r>
          </w:p>
        </w:tc>
        <w:tc>
          <w:tcPr>
            <w:tcW w:w="482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115" w:line="280" w:lineRule="exact"/>
              <w:ind w:firstLine="181" w:firstLineChars="100"/>
              <w:jc w:val="both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rFonts w:hint="eastAsia"/>
                <w:b/>
                <w:bCs/>
                <w:sz w:val="18"/>
                <w:szCs w:val="18"/>
                <w:lang w:val="en-US"/>
              </w:rPr>
              <w:t>隧道超前地质钻孔</w:t>
            </w:r>
          </w:p>
          <w:p>
            <w:pPr>
              <w:pStyle w:val="8"/>
              <w:spacing w:line="280" w:lineRule="exact"/>
              <w:jc w:val="both"/>
              <w:rPr>
                <w:sz w:val="18"/>
                <w:szCs w:val="18"/>
                <w:lang w:val="en-US"/>
              </w:rPr>
            </w:pPr>
            <w:r>
              <w:rPr>
                <w:rFonts w:hint="eastAsia"/>
                <w:sz w:val="18"/>
                <w:szCs w:val="18"/>
                <w:lang w:val="en-US"/>
              </w:rPr>
              <w:t>（1）对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所有</w:t>
            </w:r>
            <w:r>
              <w:rPr>
                <w:rFonts w:hint="eastAsia"/>
                <w:sz w:val="18"/>
                <w:szCs w:val="18"/>
                <w:lang w:val="en-US"/>
              </w:rPr>
              <w:t>隧道按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照</w:t>
            </w:r>
            <w:r>
              <w:rPr>
                <w:rFonts w:hint="eastAsia"/>
                <w:sz w:val="18"/>
                <w:szCs w:val="18"/>
                <w:lang w:val="en-US"/>
              </w:rPr>
              <w:t>每个隧道“一孔到底”进行超前水平钻孔，对瓦斯隧道钻孔不小于</w:t>
            </w:r>
            <w:r>
              <w:rPr>
                <w:sz w:val="18"/>
                <w:szCs w:val="18"/>
                <w:lang w:val="en-US"/>
              </w:rPr>
              <w:t>3个</w:t>
            </w:r>
            <w:r>
              <w:rPr>
                <w:rFonts w:hint="eastAsia"/>
                <w:sz w:val="18"/>
                <w:szCs w:val="18"/>
                <w:lang w:val="en-US"/>
              </w:rPr>
              <w:t>，根据不良地质的空间位置，确定钻孔的施作位置、方位、孔数；</w:t>
            </w:r>
          </w:p>
          <w:p>
            <w:pPr>
              <w:spacing w:line="280" w:lineRule="exact"/>
              <w:jc w:val="both"/>
              <w:rPr>
                <w:sz w:val="18"/>
                <w:szCs w:val="18"/>
                <w:lang w:val="en-US"/>
              </w:rPr>
            </w:pPr>
            <w:r>
              <w:rPr>
                <w:rFonts w:hint="eastAsia"/>
                <w:sz w:val="18"/>
                <w:szCs w:val="18"/>
                <w:lang w:val="en-US"/>
              </w:rPr>
              <w:t>（2）钻进时应对钻进速度、岩溶空洞情况、断层破碎带、石膏夹层、出水点位置、流量、水压、水温及出水状态等作详细记录，必要时应对探孔出水进行水质化验和分析，确定地下水是否具有腐蚀性。</w:t>
            </w:r>
          </w:p>
          <w:p>
            <w:pPr>
              <w:spacing w:line="280" w:lineRule="exact"/>
              <w:jc w:val="both"/>
              <w:rPr>
                <w:sz w:val="18"/>
                <w:szCs w:val="18"/>
                <w:lang w:val="en-US"/>
              </w:rPr>
            </w:pPr>
            <w:r>
              <w:rPr>
                <w:rFonts w:hint="eastAsia"/>
                <w:sz w:val="18"/>
                <w:szCs w:val="18"/>
                <w:lang w:val="en-US"/>
              </w:rPr>
              <w:t>（3）提交钻孔检测资料及成果报告。</w:t>
            </w:r>
          </w:p>
          <w:p>
            <w:pPr>
              <w:spacing w:line="280" w:lineRule="exact"/>
              <w:jc w:val="both"/>
              <w:rPr>
                <w:lang w:val="en-US"/>
              </w:rPr>
            </w:pPr>
            <w:r>
              <w:rPr>
                <w:rFonts w:hint="eastAsia"/>
                <w:sz w:val="18"/>
                <w:szCs w:val="18"/>
                <w:lang w:val="en-US"/>
              </w:rPr>
              <w:t>（</w:t>
            </w:r>
            <w:r>
              <w:rPr>
                <w:sz w:val="18"/>
                <w:szCs w:val="18"/>
                <w:lang w:val="en-US"/>
              </w:rPr>
              <w:t>4）</w:t>
            </w:r>
            <w:r>
              <w:rPr>
                <w:rFonts w:hint="eastAsia"/>
                <w:sz w:val="18"/>
                <w:szCs w:val="18"/>
                <w:lang w:val="en-US"/>
              </w:rPr>
              <w:t>钻孔遇到瓦斯及有害气体应及时通知甲方，是否补孔根据现场实际情况确定，瓦斯监测相关工作由包件一进行实施。</w:t>
            </w: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jc w:val="center"/>
              <w:rPr>
                <w:bCs/>
                <w:sz w:val="18"/>
                <w:szCs w:val="18"/>
                <w:lang w:val="en-US"/>
              </w:rPr>
            </w:pPr>
            <w:r>
              <w:rPr>
                <w:rFonts w:hint="eastAsia"/>
                <w:bCs/>
                <w:sz w:val="18"/>
                <w:szCs w:val="18"/>
                <w:lang w:val="en-US" w:eastAsia="zh-CN"/>
              </w:rPr>
              <w:t>51</w:t>
            </w:r>
            <w:r>
              <w:rPr>
                <w:rFonts w:hint="eastAsia"/>
                <w:bCs/>
                <w:sz w:val="18"/>
                <w:szCs w:val="18"/>
                <w:lang w:val="en-US"/>
              </w:rPr>
              <w:t>个月</w:t>
            </w:r>
          </w:p>
          <w:p>
            <w:pPr>
              <w:pStyle w:val="8"/>
              <w:ind w:right="187"/>
              <w:jc w:val="center"/>
              <w:rPr>
                <w:w w:val="95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7" w:hRule="atLeast"/>
        </w:trPr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157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包件</w:t>
            </w:r>
            <w:r>
              <w:rPr>
                <w:rFonts w:hint="eastAsia"/>
                <w:sz w:val="18"/>
                <w:szCs w:val="18"/>
                <w:lang w:val="en-US"/>
              </w:rPr>
              <w:t>三</w:t>
            </w:r>
          </w:p>
        </w:tc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jc w:val="center"/>
              <w:rPr>
                <w:sz w:val="18"/>
                <w:szCs w:val="18"/>
                <w:lang w:val="en-US"/>
              </w:rPr>
            </w:pPr>
            <w:r>
              <w:rPr>
                <w:rFonts w:hint="eastAsia"/>
                <w:sz w:val="18"/>
                <w:szCs w:val="18"/>
                <w:lang w:val="en-US"/>
              </w:rPr>
              <w:t>SDZT3</w:t>
            </w:r>
          </w:p>
        </w:tc>
        <w:tc>
          <w:tcPr>
            <w:tcW w:w="1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ind w:left="38" w:right="28"/>
              <w:jc w:val="center"/>
              <w:rPr>
                <w:sz w:val="18"/>
                <w:szCs w:val="18"/>
                <w:lang w:val="en-US"/>
              </w:rPr>
            </w:pPr>
            <w:r>
              <w:rPr>
                <w:rFonts w:hint="eastAsia"/>
                <w:sz w:val="18"/>
                <w:szCs w:val="18"/>
                <w:lang w:val="en-US"/>
              </w:rPr>
              <w:t>K125+300～K193+874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ind w:left="186" w:right="180"/>
              <w:jc w:val="center"/>
              <w:rPr>
                <w:sz w:val="18"/>
                <w:szCs w:val="18"/>
                <w:lang w:val="en-US"/>
              </w:rPr>
            </w:pPr>
            <w:r>
              <w:rPr>
                <w:rFonts w:hint="eastAsia"/>
                <w:sz w:val="18"/>
                <w:szCs w:val="18"/>
                <w:lang w:val="en-US"/>
              </w:rPr>
              <w:t>XJ22、J23、XJ24、J25、XJ26、J27、JN2、JN4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wordWrap w:val="0"/>
              <w:spacing w:before="5"/>
              <w:ind w:left="211" w:right="201"/>
              <w:jc w:val="center"/>
              <w:rPr>
                <w:sz w:val="18"/>
                <w:szCs w:val="18"/>
                <w:lang w:val="en-US"/>
              </w:rPr>
            </w:pPr>
            <w:r>
              <w:rPr>
                <w:rFonts w:hint="eastAsia"/>
                <w:sz w:val="18"/>
                <w:szCs w:val="18"/>
                <w:lang w:val="en-US"/>
              </w:rPr>
              <w:t>伊莫洛隧道出口（4844.5m）、窝子沟隧道（3434m）、双龙坝1号隧道（1044.5m）、双龙坝2号隧道（1926.75m）、黄角坪隧道（6578.5m）、瓜子地隧道（1475.75m）、竹林湾隧道（5716.5m）、下坝隧道进口（3240m）、芦稿隧道出口（2498m）、王家屋基隧道进口（1600m）、大沙嘴隧道（3957m）</w:t>
            </w:r>
          </w:p>
        </w:tc>
        <w:tc>
          <w:tcPr>
            <w:tcW w:w="48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exact"/>
              <w:rPr>
                <w:sz w:val="18"/>
                <w:szCs w:val="18"/>
                <w:lang w:val="en-US"/>
              </w:rPr>
            </w:pP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jc w:val="center"/>
              <w:rPr>
                <w:bCs/>
                <w:sz w:val="18"/>
                <w:szCs w:val="18"/>
                <w:lang w:val="en-US"/>
              </w:rPr>
            </w:pPr>
            <w:r>
              <w:rPr>
                <w:rFonts w:hint="eastAsia"/>
                <w:bCs/>
                <w:sz w:val="18"/>
                <w:szCs w:val="18"/>
                <w:lang w:val="en-US"/>
              </w:rPr>
              <w:t>48个月</w:t>
            </w:r>
          </w:p>
          <w:p>
            <w:pPr>
              <w:pStyle w:val="8"/>
              <w:ind w:right="187"/>
              <w:jc w:val="center"/>
              <w:rPr>
                <w:w w:val="95"/>
                <w:sz w:val="18"/>
                <w:szCs w:val="18"/>
              </w:rPr>
            </w:pPr>
          </w:p>
        </w:tc>
      </w:tr>
    </w:tbl>
    <w:p>
      <w:pPr>
        <w:pStyle w:val="4"/>
        <w:spacing w:before="3" w:after="1"/>
        <w:rPr>
          <w:rFonts w:ascii="Times New Roman"/>
          <w:b/>
          <w:sz w:val="16"/>
          <w:szCs w:val="16"/>
        </w:rPr>
      </w:pPr>
    </w:p>
    <w:p>
      <w:pPr>
        <w:pStyle w:val="3"/>
        <w:spacing w:before="70"/>
        <w:ind w:left="1097"/>
        <w:rPr>
          <w:sz w:val="25"/>
        </w:rPr>
      </w:pPr>
      <w:r>
        <w:t>注：此表仅供参考，表中数量为设计预估数量，最终以现场实际发生为准。</w:t>
      </w:r>
    </w:p>
    <w:p>
      <w:pPr>
        <w:jc w:val="center"/>
        <w:rPr>
          <w:sz w:val="18"/>
        </w:rPr>
        <w:sectPr>
          <w:type w:val="continuous"/>
          <w:pgSz w:w="16840" w:h="11910" w:orient="landscape"/>
          <w:pgMar w:top="1580" w:right="975" w:bottom="280" w:left="918" w:header="720" w:footer="720" w:gutter="0"/>
          <w:cols w:space="720" w:num="1"/>
        </w:sect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MS Gothic">
    <w:panose1 w:val="020B0609070205080204"/>
    <w:charset w:val="80"/>
    <w:family w:val="modern"/>
    <w:pitch w:val="default"/>
    <w:sig w:usb0="E00002FF" w:usb1="6AC7FDFB" w:usb2="00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line="14" w:lineRule="auto"/>
      <w:rPr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889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889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s0lY7tAAAAAFAQAADwAAAAAAAAABACAAAAAiAAAA&#10;ZHJzL2Rvd25yZXYueG1sUEsBAhQAFAAAAAgAh07iQHP4ZNkPAgAABwQAAA4AAAAAAAAAAQAgAAAA&#10;HwEAAGRycy9lMm9Eb2MueG1sUEsFBgAAAAAGAAYAWQEAAKA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D91CC7"/>
    <w:rsid w:val="42D91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3">
    <w:name w:val="heading 8"/>
    <w:basedOn w:val="1"/>
    <w:next w:val="1"/>
    <w:unhideWhenUsed/>
    <w:qFormat/>
    <w:uiPriority w:val="0"/>
    <w:pPr>
      <w:ind w:left="1372"/>
      <w:outlineLvl w:val="7"/>
    </w:pPr>
    <w:rPr>
      <w:b/>
      <w:bCs/>
      <w:sz w:val="21"/>
      <w:szCs w:val="21"/>
    </w:rPr>
  </w:style>
  <w:style w:type="character" w:default="1" w:styleId="6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2"/>
    <w:basedOn w:val="1"/>
    <w:qFormat/>
    <w:uiPriority w:val="0"/>
    <w:pPr>
      <w:ind w:firstLine="570"/>
    </w:pPr>
    <w:rPr>
      <w:rFonts w:ascii="仿宋" w:hAnsi="仿宋" w:eastAsia="仿宋"/>
      <w:sz w:val="20"/>
    </w:rPr>
  </w:style>
  <w:style w:type="paragraph" w:styleId="4">
    <w:name w:val="Body Text"/>
    <w:basedOn w:val="1"/>
    <w:uiPriority w:val="0"/>
    <w:rPr>
      <w:sz w:val="21"/>
      <w:szCs w:val="21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8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交投建设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2021-04-14T07:27:00Z</dcterms:created>
  <dc:creator>钟明娟</dc:creator>
  <cp:lastModifiedBy>钟明娟</cp:lastModifiedBy>
  <dcterms:modified xsi:type="dcterms:W3CDTF">2021-04-14T07:27:17Z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