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bookmarkStart w:id="0" w:name="_top"/>
      <w:bookmarkStart w:id="1" w:name="_Toc1450_WPSOffice_Level1"/>
      <w:r>
        <w:rPr>
          <w:rFonts w:hint="eastAsia" w:ascii="仿宋_GB2312" w:hAnsi="黑体" w:cs="黑体"/>
          <w:b/>
          <w:bCs/>
          <w:sz w:val="72"/>
          <w:szCs w:val="72"/>
        </w:rPr>
        <w:drawing>
          <wp:anchor distT="0" distB="0" distL="0" distR="0" simplePos="0" relativeHeight="246467584" behindDoc="0" locked="0" layoutInCell="1" allowOverlap="1">
            <wp:simplePos x="0" y="0"/>
            <wp:positionH relativeFrom="column">
              <wp:posOffset>276225</wp:posOffset>
            </wp:positionH>
            <wp:positionV relativeFrom="paragraph">
              <wp:posOffset>-146050</wp:posOffset>
            </wp:positionV>
            <wp:extent cx="709930" cy="513080"/>
            <wp:effectExtent l="0" t="0" r="5715" b="1270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bookmarkEnd w:id="0"/>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10"/>
          <w:sz w:val="52"/>
          <w:szCs w:val="52"/>
          <w:highlight w:val="none"/>
          <w:lang w:val="en-US" w:eastAsia="zh-CN"/>
        </w:rPr>
      </w:pPr>
      <w:r>
        <w:rPr>
          <w:rFonts w:hint="eastAsia" w:ascii="仿宋" w:hAnsi="仿宋" w:eastAsia="仿宋" w:cs="仿宋"/>
          <w:b/>
          <w:bCs/>
          <w:color w:val="auto"/>
          <w:kern w:val="10"/>
          <w:sz w:val="52"/>
          <w:szCs w:val="52"/>
          <w:highlight w:val="none"/>
          <w:lang w:val="en-US" w:eastAsia="zh-CN"/>
        </w:rPr>
        <w:t>G75兰海高速广甘段（姚渡至罗家沟）桥墩桩基病害处治工程工程协作项目</w:t>
      </w: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72"/>
          <w:szCs w:val="72"/>
          <w:highlight w:val="none"/>
          <w:lang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仿宋" w:hAnsi="仿宋" w:eastAsia="仿宋" w:cs="仿宋"/>
          <w:b/>
          <w:bCs/>
          <w:color w:val="auto"/>
          <w:kern w:val="0"/>
          <w:sz w:val="72"/>
          <w:szCs w:val="72"/>
          <w:highlight w:val="none"/>
        </w:rPr>
        <w:t xml:space="preserve">招 标 </w:t>
      </w:r>
      <w:r>
        <w:rPr>
          <w:rFonts w:hint="eastAsia" w:ascii="仿宋" w:hAnsi="仿宋" w:eastAsia="仿宋" w:cs="仿宋"/>
          <w:b/>
          <w:bCs/>
          <w:color w:val="auto"/>
          <w:kern w:val="0"/>
          <w:sz w:val="72"/>
          <w:szCs w:val="72"/>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rPr>
          <w:color w:val="auto"/>
        </w:rPr>
      </w:pPr>
    </w:p>
    <w:bookmarkEnd w:id="1"/>
    <w:p>
      <w:pPr>
        <w:pStyle w:val="67"/>
        <w:tabs>
          <w:tab w:val="right" w:leader="dot" w:pos="8306"/>
        </w:tabs>
        <w:spacing w:line="360" w:lineRule="auto"/>
        <w:ind w:firstLine="418" w:firstLineChars="209"/>
        <w:jc w:val="both"/>
      </w:pPr>
      <w:bookmarkStart w:id="2" w:name="_Toc3161_WPSOffice_Level1"/>
      <w:bookmarkStart w:id="3" w:name="_Toc27409_WPSOffice_Level1"/>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b/>
          <w:sz w:val="32"/>
          <w:lang w:eastAsia="zh-CN"/>
        </w:rPr>
      </w:pPr>
      <w:r>
        <w:rPr>
          <w:rFonts w:hint="eastAsia"/>
          <w:b/>
          <w:sz w:val="32"/>
          <w:lang w:eastAsia="zh-CN"/>
        </w:rPr>
        <w:t>G75兰海高速广甘段（姚渡至罗家沟）桥墩桩基病害处治工程</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eastAsia="zh-CN"/>
        </w:rPr>
        <w:t>工程协作项目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74"/>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bookmarkStart w:id="4" w:name="_Toc22287"/>
      <w:r>
        <w:rPr>
          <w:b/>
          <w:sz w:val="24"/>
        </w:rPr>
        <w:t>项目概况</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both"/>
        <w:textAlignment w:val="auto"/>
        <w:rPr>
          <w:b/>
          <w:sz w:val="24"/>
        </w:rPr>
      </w:pPr>
      <w:r>
        <w:rPr>
          <w:b/>
          <w:spacing w:val="-4"/>
          <w:sz w:val="24"/>
        </w:rPr>
        <w:t>工程概况：</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default" w:eastAsia="宋体"/>
          <w:sz w:val="24"/>
          <w:szCs w:val="32"/>
          <w:lang w:val="en-US" w:eastAsia="zh-CN"/>
        </w:rPr>
      </w:pPr>
      <w:r>
        <w:rPr>
          <w:rFonts w:hint="eastAsia" w:ascii="宋体" w:hAnsi="宋体" w:cs="宋体"/>
          <w:sz w:val="24"/>
          <w:szCs w:val="32"/>
          <w:lang w:eastAsia="zh-CN"/>
        </w:rPr>
        <w:t>G75 兰海高速广甘段（姚渡至罗家沟）</w:t>
      </w:r>
      <w:r>
        <w:rPr>
          <w:rFonts w:ascii="宋体" w:hAnsi="宋体" w:eastAsia="宋体" w:cs="宋体"/>
          <w:sz w:val="24"/>
          <w:szCs w:val="24"/>
        </w:rPr>
        <w:t>道沟头左线 2 号特大桥、 道沟头右线特大桥、银子坝白龙湖左线特大桥</w:t>
      </w:r>
      <w:r>
        <w:rPr>
          <w:rFonts w:hint="eastAsia" w:ascii="宋体" w:hAnsi="宋体" w:eastAsia="宋体" w:cs="宋体"/>
          <w:sz w:val="24"/>
          <w:szCs w:val="24"/>
          <w:lang w:val="en-US" w:eastAsia="zh-CN"/>
        </w:rPr>
        <w:t>等20座桥梁</w:t>
      </w:r>
      <w:r>
        <w:rPr>
          <w:rFonts w:ascii="宋体" w:hAnsi="宋体" w:eastAsia="宋体" w:cs="宋体"/>
          <w:sz w:val="24"/>
          <w:szCs w:val="24"/>
        </w:rPr>
        <w:t>桥墩存在桩基冲 刷、露筋、钢筋锈蚀、麻面等问题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本工程主要施工目的为</w:t>
      </w:r>
      <w:r>
        <w:rPr>
          <w:rFonts w:ascii="宋体" w:hAnsi="宋体" w:eastAsia="宋体" w:cs="宋体"/>
          <w:sz w:val="24"/>
          <w:szCs w:val="24"/>
        </w:rPr>
        <w:t>对桩基存在冲刷、破损等问题的结构，采用补强的方式，弥补下部结构承载 能力的同时，防止桥墩、桩基进一步的冲刷、破损</w:t>
      </w:r>
      <w:r>
        <w:rPr>
          <w:rFonts w:hint="eastAsia" w:ascii="宋体" w:hAnsi="宋体" w:cs="宋体"/>
          <w:sz w:val="24"/>
          <w:szCs w:val="32"/>
          <w:lang w:eastAsia="zh-CN"/>
        </w:rPr>
        <w:t>。</w:t>
      </w:r>
      <w:r>
        <w:rPr>
          <w:rFonts w:hint="eastAsia" w:ascii="宋体" w:hAnsi="宋体" w:eastAsia="宋体" w:cs="宋体"/>
          <w:sz w:val="24"/>
          <w:szCs w:val="32"/>
          <w:lang w:val="en-US" w:eastAsia="zh-CN"/>
        </w:rPr>
        <w:t>主要施工内容包括：</w:t>
      </w:r>
      <w:r>
        <w:rPr>
          <w:rFonts w:hint="eastAsia" w:ascii="宋体" w:hAnsi="宋体" w:cs="宋体"/>
          <w:sz w:val="24"/>
          <w:szCs w:val="32"/>
          <w:lang w:val="en-US" w:eastAsia="zh-CN"/>
        </w:rPr>
        <w:t>围堰、钢套筒施工、C40自密式混凝土浇筑等。</w:t>
      </w:r>
    </w:p>
    <w:p>
      <w:pPr>
        <w:pStyle w:val="7"/>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本次招标为</w:t>
      </w:r>
      <w:r>
        <w:rPr>
          <w:rFonts w:hint="eastAsia"/>
          <w:sz w:val="24"/>
          <w:szCs w:val="32"/>
          <w:lang w:eastAsia="zh-CN"/>
        </w:rPr>
        <w:t>G75兰海高速广甘段（姚渡至罗家沟）桥墩桩基病害处治工程</w:t>
      </w:r>
      <w:r>
        <w:rPr>
          <w:rFonts w:hint="eastAsia" w:ascii="宋体" w:hAnsi="宋体" w:eastAsia="宋体" w:cs="宋体"/>
          <w:sz w:val="24"/>
          <w:szCs w:val="32"/>
          <w:lang w:val="en-US" w:eastAsia="zh-CN"/>
        </w:rPr>
        <w:t>工程协作项目</w:t>
      </w:r>
      <w:r>
        <w:rPr>
          <w:sz w:val="24"/>
          <w:szCs w:val="32"/>
        </w:rPr>
        <w:t>。本次招标共计</w:t>
      </w:r>
      <w:r>
        <w:rPr>
          <w:rFonts w:hint="eastAsia"/>
          <w:sz w:val="24"/>
          <w:szCs w:val="32"/>
          <w:lang w:val="en-US" w:eastAsia="zh-CN"/>
        </w:rPr>
        <w:t>1</w:t>
      </w:r>
      <w:r>
        <w:rPr>
          <w:sz w:val="24"/>
          <w:szCs w:val="32"/>
        </w:rPr>
        <w:t>个分段，开工时间以业主开工令为准，工程工期时间为</w:t>
      </w:r>
      <w:r>
        <w:rPr>
          <w:rFonts w:hint="eastAsia"/>
          <w:sz w:val="24"/>
          <w:szCs w:val="32"/>
          <w:lang w:val="en-US" w:eastAsia="zh-CN"/>
        </w:rPr>
        <w:t>3</w:t>
      </w:r>
      <w:r>
        <w:rPr>
          <w:sz w:val="24"/>
          <w:szCs w:val="32"/>
        </w:rPr>
        <w:t>个月。</w:t>
      </w:r>
    </w:p>
    <w:p>
      <w:pPr>
        <w:pStyle w:val="7"/>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投标人允许参投分段数量及允许中标数量：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5"/>
          <w:sz w:val="24"/>
        </w:rPr>
      </w:pPr>
      <w:r>
        <w:rPr>
          <w:sz w:val="24"/>
        </w:rPr>
        <w:t>每个投标人投标分段个数不超过</w:t>
      </w:r>
      <w:r>
        <w:rPr>
          <w:rFonts w:hint="eastAsia"/>
          <w:sz w:val="24"/>
          <w:lang w:val="en-US" w:eastAsia="zh-CN"/>
        </w:rPr>
        <w:t>1</w:t>
      </w:r>
      <w:r>
        <w:rPr>
          <w:sz w:val="24"/>
        </w:rPr>
        <w:t>个，最多中标1</w:t>
      </w:r>
      <w:r>
        <w:rPr>
          <w:spacing w:val="-5"/>
          <w:sz w:val="24"/>
        </w:rPr>
        <w:t>个分段。</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2.3工程质量：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2"/>
          <w:sz w:val="24"/>
        </w:rPr>
      </w:pPr>
      <w:r>
        <w:rPr>
          <w:sz w:val="24"/>
        </w:rPr>
        <w:t>单项养护工程项目交（竣）</w:t>
      </w:r>
      <w:r>
        <w:rPr>
          <w:spacing w:val="-2"/>
          <w:sz w:val="24"/>
        </w:rPr>
        <w:t>工验收的质量评定：合格。</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2.4安全目标：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2.5缺陷责任期：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单项养护工程项目自交工证书签章日期起计算，</w:t>
      </w:r>
      <w:r>
        <w:rPr>
          <w:sz w:val="24"/>
          <w:szCs w:val="32"/>
          <w:u w:val="single"/>
        </w:rPr>
        <w:t>缺陷责任期12个月</w:t>
      </w:r>
      <w:r>
        <w:rPr>
          <w:sz w:val="24"/>
          <w:szCs w:val="32"/>
        </w:rPr>
        <w:t>，</w:t>
      </w:r>
      <w:r>
        <w:rPr>
          <w:sz w:val="24"/>
          <w:szCs w:val="32"/>
          <w:u w:val="single"/>
        </w:rPr>
        <w:t>保修期</w:t>
      </w:r>
      <w:r>
        <w:rPr>
          <w:rFonts w:ascii="Times New Roman" w:eastAsia="Times New Roman"/>
          <w:sz w:val="24"/>
          <w:szCs w:val="32"/>
          <w:u w:val="single"/>
        </w:rPr>
        <w:t>60</w:t>
      </w:r>
      <w:r>
        <w:rPr>
          <w:sz w:val="24"/>
          <w:szCs w:val="32"/>
          <w:u w:val="single"/>
        </w:rPr>
        <w:t>个月</w:t>
      </w:r>
      <w:r>
        <w:rPr>
          <w:sz w:val="24"/>
          <w:szCs w:val="32"/>
        </w:rPr>
        <w:t>。</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7"/>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（1）资质要求具有住房和城乡建设部颁发的施工劳务资质或公路工程施工总承包叁级及以上资质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（2）业绩要求：5年内（2016年1月1日至今）具有1个及以上高速公路桥梁养护工程施工业绩。</w:t>
      </w:r>
    </w:p>
    <w:p>
      <w:pPr>
        <w:pStyle w:val="7"/>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7"/>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企查查https://www.qichacha.com/”等网站查询投标人是否有影响本项目执行的重大诉讼和经济合同纠纷，若存在相关问题，取消投标资格。</w:t>
      </w:r>
    </w:p>
    <w:p>
      <w:pPr>
        <w:pStyle w:val="7"/>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spacing w:val="-62"/>
          <w:u w:val="single"/>
        </w:rPr>
        <w:t xml:space="preserve"> </w:t>
      </w:r>
      <w:r>
        <w:rPr>
          <w:rFonts w:hint="eastAsia" w:ascii="宋体" w:eastAsia="宋体"/>
          <w:b w:val="0"/>
          <w:spacing w:val="-16"/>
          <w:u w:val="single"/>
        </w:rPr>
        <w:t>否</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2</w:t>
      </w:r>
      <w:r>
        <w:rPr>
          <w:sz w:val="24"/>
          <w:szCs w:val="32"/>
        </w:rPr>
        <w:t>万元的投标保证金。</w:t>
      </w:r>
    </w:p>
    <w:p>
      <w:pPr>
        <w:pStyle w:val="7"/>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7"/>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投标分段个数不限，履约保证金、投标保证金按 80%缴纳。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履约保证金、投标保证金按 60%缴纳。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20</w:t>
      </w:r>
      <w:r>
        <w:rPr>
          <w:sz w:val="24"/>
          <w:szCs w:val="32"/>
        </w:rPr>
        <w:t xml:space="preserve"> 年度“AA”或“A”信用等级且施工资质为总承包一级及以上的投标人，本年度内信用等级按 A 级处理。</w:t>
      </w:r>
    </w:p>
    <w:p>
      <w:pPr>
        <w:pStyle w:val="7"/>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报名面试：</w:t>
      </w:r>
    </w:p>
    <w:p>
      <w:pPr>
        <w:pStyle w:val="1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sz w:val="24"/>
          <w:szCs w:val="32"/>
        </w:rPr>
      </w:pPr>
      <w:r>
        <w:rPr>
          <w:spacing w:val="-1"/>
          <w:sz w:val="24"/>
          <w:szCs w:val="32"/>
        </w:rPr>
        <w:t xml:space="preserve">凡有意参加本项目的潜在投标人，请于 </w:t>
      </w:r>
      <w:r>
        <w:rPr>
          <w:sz w:val="24"/>
          <w:szCs w:val="32"/>
          <w:u w:val="single"/>
        </w:rPr>
        <w:t>2021</w:t>
      </w:r>
      <w:r>
        <w:rPr>
          <w:spacing w:val="-37"/>
          <w:sz w:val="24"/>
          <w:szCs w:val="32"/>
          <w:u w:val="single"/>
        </w:rPr>
        <w:t xml:space="preserve"> 年 </w:t>
      </w:r>
      <w:r>
        <w:rPr>
          <w:rFonts w:hint="eastAsia"/>
          <w:sz w:val="24"/>
          <w:szCs w:val="32"/>
          <w:u w:val="single"/>
          <w:lang w:val="en-US" w:eastAsia="zh-CN"/>
        </w:rPr>
        <w:t>5</w:t>
      </w:r>
      <w:r>
        <w:rPr>
          <w:spacing w:val="-37"/>
          <w:sz w:val="24"/>
          <w:szCs w:val="32"/>
          <w:u w:val="single"/>
        </w:rPr>
        <w:t xml:space="preserve"> 月</w:t>
      </w:r>
      <w:r>
        <w:rPr>
          <w:rFonts w:hint="eastAsia"/>
          <w:spacing w:val="-37"/>
          <w:sz w:val="24"/>
          <w:szCs w:val="32"/>
          <w:u w:val="single"/>
          <w:lang w:val="en-US" w:eastAsia="zh-CN"/>
        </w:rPr>
        <w:t>21</w:t>
      </w:r>
      <w:r>
        <w:rPr>
          <w:spacing w:val="-26"/>
          <w:sz w:val="24"/>
          <w:szCs w:val="32"/>
          <w:u w:val="single"/>
        </w:rPr>
        <w:t xml:space="preserve">日至 </w:t>
      </w:r>
      <w:r>
        <w:rPr>
          <w:sz w:val="24"/>
          <w:szCs w:val="32"/>
          <w:u w:val="single"/>
        </w:rPr>
        <w:t>2021</w:t>
      </w:r>
      <w:r>
        <w:rPr>
          <w:spacing w:val="-36"/>
          <w:sz w:val="24"/>
          <w:szCs w:val="32"/>
          <w:u w:val="single"/>
        </w:rPr>
        <w:t xml:space="preserve"> 年 </w:t>
      </w:r>
      <w:r>
        <w:rPr>
          <w:rFonts w:hint="eastAsia"/>
          <w:sz w:val="24"/>
          <w:szCs w:val="32"/>
          <w:u w:val="single"/>
          <w:lang w:val="en-US" w:eastAsia="zh-CN"/>
        </w:rPr>
        <w:t>5</w:t>
      </w:r>
      <w:r>
        <w:rPr>
          <w:spacing w:val="-37"/>
          <w:sz w:val="24"/>
          <w:szCs w:val="32"/>
          <w:u w:val="single"/>
        </w:rPr>
        <w:t xml:space="preserve"> 月 </w:t>
      </w:r>
      <w:r>
        <w:rPr>
          <w:rFonts w:hint="eastAsia"/>
          <w:sz w:val="24"/>
          <w:szCs w:val="32"/>
          <w:u w:val="single"/>
          <w:lang w:val="en-US" w:eastAsia="zh-CN"/>
        </w:rPr>
        <w:t>25</w:t>
      </w:r>
      <w:r>
        <w:rPr>
          <w:spacing w:val="-25"/>
          <w:sz w:val="24"/>
          <w:szCs w:val="32"/>
          <w:u w:val="single"/>
        </w:rPr>
        <w:t>日</w:t>
      </w:r>
      <w:r>
        <w:rPr>
          <w:spacing w:val="7"/>
          <w:sz w:val="24"/>
          <w:szCs w:val="32"/>
          <w:u w:val="single"/>
        </w:rPr>
        <w:t>（</w:t>
      </w:r>
      <w:r>
        <w:rPr>
          <w:spacing w:val="-17"/>
          <w:sz w:val="24"/>
          <w:szCs w:val="32"/>
          <w:u w:val="single"/>
        </w:rPr>
        <w:t xml:space="preserve"> </w:t>
      </w:r>
      <w:r>
        <w:rPr>
          <w:sz w:val="24"/>
          <w:szCs w:val="32"/>
          <w:u w:val="single"/>
        </w:rPr>
        <w:t>9</w:t>
      </w:r>
      <w:r>
        <w:rPr>
          <w:rFonts w:hint="eastAsia"/>
          <w:sz w:val="24"/>
          <w:szCs w:val="32"/>
          <w:u w:val="single"/>
          <w:lang w:val="en-US" w:eastAsia="zh-CN"/>
        </w:rPr>
        <w:t>：30-12：30</w:t>
      </w:r>
      <w:r>
        <w:rPr>
          <w:spacing w:val="-16"/>
          <w:sz w:val="24"/>
          <w:szCs w:val="32"/>
          <w:u w:val="single"/>
        </w:rPr>
        <w:t>，</w:t>
      </w:r>
      <w:r>
        <w:rPr>
          <w:rFonts w:hint="eastAsia"/>
          <w:spacing w:val="-16"/>
          <w:sz w:val="24"/>
          <w:szCs w:val="32"/>
          <w:u w:val="single"/>
          <w:lang w:val="en-US" w:eastAsia="zh-CN"/>
        </w:rPr>
        <w:t>14：00-</w:t>
      </w:r>
      <w:r>
        <w:rPr>
          <w:spacing w:val="-27"/>
          <w:sz w:val="24"/>
          <w:szCs w:val="32"/>
          <w:u w:val="single"/>
        </w:rPr>
        <w:t xml:space="preserve"> </w:t>
      </w:r>
      <w:r>
        <w:rPr>
          <w:rFonts w:hint="eastAsia"/>
          <w:spacing w:val="-27"/>
          <w:sz w:val="24"/>
          <w:szCs w:val="32"/>
          <w:u w:val="single"/>
          <w:lang w:val="en-US" w:eastAsia="zh-CN"/>
        </w:rPr>
        <w:t>17：30</w:t>
      </w:r>
      <w:r>
        <w:rPr>
          <w:spacing w:val="-16"/>
          <w:sz w:val="24"/>
          <w:szCs w:val="32"/>
          <w:u w:val="single"/>
        </w:rPr>
        <w:t xml:space="preserve"> </w:t>
      </w:r>
      <w:r>
        <w:rPr>
          <w:sz w:val="24"/>
          <w:szCs w:val="32"/>
          <w:u w:val="single"/>
        </w:rPr>
        <w:t>）</w:t>
      </w:r>
      <w:r>
        <w:rPr>
          <w:sz w:val="24"/>
          <w:szCs w:val="32"/>
        </w:rPr>
        <w:t>报名，潜在投标人报名时需提交单位介绍信、经办人身份证、营业执照、资质证书复印件资料，</w:t>
      </w:r>
      <w:r>
        <w:rPr>
          <w:spacing w:val="-20"/>
          <w:sz w:val="24"/>
          <w:szCs w:val="32"/>
          <w:u w:val="single"/>
        </w:rPr>
        <w:t xml:space="preserve">并于 </w:t>
      </w:r>
      <w:r>
        <w:rPr>
          <w:sz w:val="24"/>
          <w:szCs w:val="32"/>
          <w:u w:val="single"/>
        </w:rPr>
        <w:t>2021</w:t>
      </w:r>
      <w:r>
        <w:rPr>
          <w:spacing w:val="-37"/>
          <w:sz w:val="24"/>
          <w:szCs w:val="32"/>
          <w:u w:val="single"/>
        </w:rPr>
        <w:t xml:space="preserve"> 年</w:t>
      </w:r>
      <w:r>
        <w:rPr>
          <w:rFonts w:hint="eastAsia"/>
          <w:spacing w:val="-37"/>
          <w:sz w:val="24"/>
          <w:szCs w:val="32"/>
          <w:u w:val="single"/>
          <w:lang w:val="en-US" w:eastAsia="zh-CN"/>
        </w:rPr>
        <w:t>5</w:t>
      </w:r>
      <w:r>
        <w:rPr>
          <w:spacing w:val="-38"/>
          <w:sz w:val="24"/>
          <w:szCs w:val="32"/>
          <w:u w:val="single"/>
        </w:rPr>
        <w:t xml:space="preserve"> 月</w:t>
      </w:r>
      <w:r>
        <w:rPr>
          <w:rFonts w:hint="eastAsia"/>
          <w:spacing w:val="-38"/>
          <w:sz w:val="24"/>
          <w:szCs w:val="32"/>
          <w:u w:val="single"/>
          <w:lang w:val="en-US" w:eastAsia="zh-CN"/>
        </w:rPr>
        <w:t>21</w:t>
      </w:r>
      <w:r>
        <w:rPr>
          <w:spacing w:val="-29"/>
          <w:sz w:val="24"/>
          <w:szCs w:val="32"/>
          <w:u w:val="single"/>
        </w:rPr>
        <w:t>日</w:t>
      </w:r>
      <w:r>
        <w:rPr>
          <w:sz w:val="24"/>
          <w:szCs w:val="32"/>
        </w:rPr>
        <w:t>统一参加进行面试</w:t>
      </w:r>
      <w:r>
        <w:rPr>
          <w:sz w:val="24"/>
          <w:szCs w:val="32"/>
          <w:u w:val="single"/>
        </w:rPr>
        <w:t>（参加面试的潜在投标人管理人员为：①项目负责人、②项目技术负责人）</w:t>
      </w:r>
      <w:r>
        <w:rPr>
          <w:sz w:val="24"/>
          <w:szCs w:val="32"/>
        </w:rPr>
        <w:t>，经面试合格的潜在投标人方有资格购买招标文件。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报名及面试地点：成都市锦江区墨香路 87 号火炬动力港 2 期 9 栋一单元 9 楼。</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98" w:firstLineChars="200"/>
        <w:jc w:val="both"/>
        <w:textAlignment w:val="auto"/>
        <w:rPr>
          <w:sz w:val="24"/>
        </w:rPr>
      </w:pPr>
      <w:r>
        <w:rPr>
          <w:b/>
          <w:spacing w:val="4"/>
          <w:sz w:val="24"/>
        </w:rPr>
        <w:t>经面试合格的潜在投标人方有资格购买招标文件，</w:t>
      </w:r>
      <w:r>
        <w:rPr>
          <w:spacing w:val="-8"/>
          <w:sz w:val="24"/>
        </w:rPr>
        <w:t xml:space="preserve">招标文件售价 </w:t>
      </w:r>
      <w:r>
        <w:rPr>
          <w:rFonts w:hint="eastAsia"/>
          <w:sz w:val="24"/>
          <w:lang w:val="en-US" w:eastAsia="zh-CN"/>
        </w:rPr>
        <w:t>5</w:t>
      </w:r>
      <w:r>
        <w:rPr>
          <w:sz w:val="24"/>
        </w:rPr>
        <w:t>00</w:t>
      </w:r>
      <w:r>
        <w:rPr>
          <w:spacing w:val="-29"/>
          <w:sz w:val="24"/>
        </w:rPr>
        <w:t xml:space="preserve"> 元</w:t>
      </w:r>
      <w:r>
        <w:rPr>
          <w:sz w:val="24"/>
        </w:rPr>
        <w:t>/</w:t>
      </w:r>
      <w:r>
        <w:rPr>
          <w:spacing w:val="1"/>
          <w:sz w:val="24"/>
        </w:rPr>
        <w:t>份，购买时不接受现金</w:t>
      </w:r>
      <w:r>
        <w:rPr>
          <w:spacing w:val="1"/>
          <w:sz w:val="24"/>
          <w:u w:val="single"/>
        </w:rPr>
        <w:t>（</w:t>
      </w:r>
      <w:r>
        <w:rPr>
          <w:rFonts w:hint="eastAsia" w:ascii="宋体" w:hAnsi="宋体" w:eastAsia="宋体" w:cs="宋体"/>
          <w:b w:val="0"/>
          <w:bCs w:val="0"/>
          <w:color w:val="auto"/>
          <w:sz w:val="24"/>
          <w:szCs w:val="24"/>
          <w:highlight w:val="none"/>
          <w:u w:val="single"/>
          <w:lang w:val="en-US" w:eastAsia="zh-CN"/>
        </w:rPr>
        <w:t>转账时备注“转账时备注“</w:t>
      </w:r>
      <w:r>
        <w:rPr>
          <w:rFonts w:hint="eastAsia" w:ascii="宋体" w:hAnsi="宋体" w:cs="宋体"/>
          <w:b w:val="0"/>
          <w:bCs w:val="0"/>
          <w:color w:val="auto"/>
          <w:sz w:val="24"/>
          <w:szCs w:val="24"/>
          <w:highlight w:val="none"/>
          <w:u w:val="single"/>
          <w:lang w:val="en-US" w:eastAsia="zh-CN"/>
        </w:rPr>
        <w:t>G75兰海高速广甘段（姚渡至罗家沟）桥墩桩基病害处治工程</w:t>
      </w:r>
      <w:r>
        <w:rPr>
          <w:rFonts w:hint="eastAsia" w:ascii="宋体" w:hAnsi="宋体" w:eastAsia="宋体" w:cs="宋体"/>
          <w:b w:val="0"/>
          <w:bCs w:val="0"/>
          <w:color w:val="auto"/>
          <w:sz w:val="24"/>
          <w:szCs w:val="24"/>
          <w:highlight w:val="none"/>
          <w:u w:val="single"/>
          <w:lang w:val="en-US" w:eastAsia="zh-CN"/>
        </w:rPr>
        <w:t>工程协作项目招标文件资料费”或“</w:t>
      </w:r>
      <w:r>
        <w:rPr>
          <w:rFonts w:hint="eastAsia" w:ascii="宋体" w:hAnsi="宋体" w:cs="宋体"/>
          <w:b w:val="0"/>
          <w:bCs w:val="0"/>
          <w:color w:val="auto"/>
          <w:sz w:val="24"/>
          <w:szCs w:val="24"/>
          <w:highlight w:val="none"/>
          <w:u w:val="single"/>
          <w:lang w:val="en-US" w:eastAsia="zh-CN"/>
        </w:rPr>
        <w:t>2021-CB-8分段</w:t>
      </w:r>
      <w:r>
        <w:rPr>
          <w:rFonts w:hint="eastAsia" w:ascii="宋体" w:hAnsi="宋体" w:cs="宋体"/>
          <w:b w:val="0"/>
          <w:bCs w:val="0"/>
          <w:color w:val="auto"/>
          <w:sz w:val="24"/>
          <w:szCs w:val="24"/>
          <w:highlight w:val="none"/>
          <w:u w:val="single"/>
        </w:rPr>
        <w:t>招标文件资料费</w:t>
      </w:r>
      <w:r>
        <w:rPr>
          <w:rFonts w:hint="eastAsia" w:ascii="宋体" w:hAnsi="宋体" w:cs="宋体"/>
          <w:b w:val="0"/>
          <w:bCs w:val="0"/>
          <w:color w:val="auto"/>
          <w:sz w:val="24"/>
          <w:szCs w:val="24"/>
          <w:highlight w:val="none"/>
          <w:u w:val="single"/>
          <w:lang w:val="en-US" w:eastAsia="zh-CN"/>
        </w:rPr>
        <w:t>”</w:t>
      </w:r>
      <w:r>
        <w:rPr>
          <w:sz w:val="24"/>
          <w:u w:val="single"/>
        </w:rPr>
        <w:t>）</w:t>
      </w:r>
      <w:r>
        <w:rPr>
          <w:b/>
          <w:sz w:val="24"/>
        </w:rPr>
        <w:t>。</w:t>
      </w:r>
    </w:p>
    <w:p>
      <w:pPr>
        <w:pStyle w:val="74"/>
        <w:keepNext w:val="0"/>
        <w:keepLines w:val="0"/>
        <w:pageBreakBefore w:val="0"/>
        <w:widowControl w:val="0"/>
        <w:numPr>
          <w:ilvl w:val="1"/>
          <w:numId w:val="3"/>
        </w:numPr>
        <w:tabs>
          <w:tab w:val="left" w:pos="1099"/>
        </w:tabs>
        <w:kinsoku/>
        <w:wordWrap/>
        <w:overflowPunct/>
        <w:topLinePunct w:val="0"/>
        <w:bidi w:val="0"/>
        <w:snapToGrid/>
        <w:spacing w:after="0" w:line="360" w:lineRule="auto"/>
        <w:ind w:left="0" w:right="0" w:firstLine="522" w:firstLineChars="200"/>
        <w:jc w:val="both"/>
        <w:textAlignment w:val="auto"/>
        <w:rPr>
          <w:b/>
          <w:sz w:val="24"/>
        </w:rPr>
      </w:pPr>
      <w:r>
        <w:rPr>
          <w:b/>
          <w:spacing w:val="10"/>
          <w:sz w:val="24"/>
          <w:u w:val="single"/>
        </w:rPr>
        <w:t xml:space="preserve">购买招标文件时，请投标人出示已缴纳招标文件费用的凭证，并自行携带 </w:t>
      </w:r>
      <w:r>
        <w:rPr>
          <w:b/>
          <w:sz w:val="24"/>
          <w:u w:val="single"/>
        </w:rPr>
        <w:t>U</w:t>
      </w:r>
      <w:r>
        <w:rPr>
          <w:b/>
          <w:spacing w:val="-27"/>
          <w:sz w:val="24"/>
          <w:u w:val="single"/>
        </w:rPr>
        <w:t xml:space="preserve"> 盘</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pacing w:val="-1"/>
          <w:sz w:val="24"/>
          <w:u w:val="single"/>
        </w:rPr>
      </w:pPr>
      <w:r>
        <w:rPr>
          <w:b/>
          <w:sz w:val="24"/>
          <w:u w:val="single"/>
        </w:rPr>
        <w:t>（</w:t>
      </w:r>
      <w:r>
        <w:rPr>
          <w:b/>
          <w:spacing w:val="-11"/>
          <w:sz w:val="24"/>
          <w:u w:val="single"/>
        </w:rPr>
        <w:t xml:space="preserve">容量不小于 </w:t>
      </w:r>
      <w:r>
        <w:rPr>
          <w:b/>
          <w:sz w:val="24"/>
          <w:u w:val="single"/>
        </w:rPr>
        <w:t>8G）</w:t>
      </w:r>
      <w:r>
        <w:rPr>
          <w:b/>
          <w:spacing w:val="-1"/>
          <w:sz w:val="24"/>
          <w:u w:val="single"/>
        </w:rPr>
        <w:t>，拷贝电子版图纸和所投分段的固化工程量清单。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7"/>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14"/>
        <w:keepNext w:val="0"/>
        <w:keepLines w:val="0"/>
        <w:pageBreakBefore w:val="0"/>
        <w:widowControl w:val="0"/>
        <w:kinsoku/>
        <w:wordWrap/>
        <w:overflowPunct/>
        <w:topLinePunct w:val="0"/>
        <w:bidi w:val="0"/>
        <w:snapToGrid/>
        <w:spacing w:line="360" w:lineRule="auto"/>
        <w:ind w:left="0" w:right="0" w:firstLine="420" w:firstLineChars="200"/>
        <w:jc w:val="both"/>
        <w:textAlignment w:val="auto"/>
      </w:pPr>
      <w:r>
        <w:t>现场踏勘：不组织现场踏勘，由投标人自行考察，并负责考察过程中的交通、安全以及相关费用。</w:t>
      </w:r>
    </w:p>
    <w:p>
      <w:pPr>
        <w:pStyle w:val="7"/>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u w:val="single"/>
        </w:rPr>
        <w:t xml:space="preserve"> 2021 </w:t>
      </w:r>
      <w:r>
        <w:rPr>
          <w:sz w:val="24"/>
          <w:szCs w:val="32"/>
        </w:rPr>
        <w:t>年</w:t>
      </w:r>
      <w:r>
        <w:rPr>
          <w:sz w:val="24"/>
          <w:szCs w:val="32"/>
          <w:u w:val="single"/>
        </w:rPr>
        <w:t xml:space="preserve"> </w:t>
      </w:r>
      <w:r>
        <w:rPr>
          <w:rFonts w:hint="eastAsia"/>
          <w:sz w:val="24"/>
          <w:szCs w:val="32"/>
          <w:u w:val="single"/>
          <w:lang w:val="en-US" w:eastAsia="zh-CN"/>
        </w:rPr>
        <w:t>6</w:t>
      </w:r>
      <w:r>
        <w:rPr>
          <w:sz w:val="24"/>
          <w:szCs w:val="32"/>
          <w:u w:val="single"/>
        </w:rPr>
        <w:t xml:space="preserve"> </w:t>
      </w:r>
      <w:r>
        <w:rPr>
          <w:sz w:val="24"/>
          <w:szCs w:val="32"/>
        </w:rPr>
        <w:t>月</w:t>
      </w:r>
      <w:r>
        <w:rPr>
          <w:sz w:val="24"/>
          <w:szCs w:val="32"/>
          <w:u w:val="single"/>
        </w:rPr>
        <w:t xml:space="preserve"> </w:t>
      </w:r>
      <w:r>
        <w:rPr>
          <w:rFonts w:hint="eastAsia"/>
          <w:sz w:val="24"/>
          <w:szCs w:val="32"/>
          <w:u w:val="single"/>
          <w:lang w:val="en-US" w:eastAsia="zh-CN"/>
        </w:rPr>
        <w:t xml:space="preserve">1 </w:t>
      </w:r>
      <w:r>
        <w:rPr>
          <w:sz w:val="24"/>
          <w:szCs w:val="32"/>
        </w:rPr>
        <w:t xml:space="preserve"> 日</w:t>
      </w:r>
      <w:r>
        <w:rPr>
          <w:sz w:val="24"/>
          <w:szCs w:val="32"/>
          <w:u w:val="single"/>
        </w:rPr>
        <w:t xml:space="preserve">  10：</w:t>
      </w:r>
      <w:r>
        <w:rPr>
          <w:rFonts w:hint="eastAsia"/>
          <w:sz w:val="24"/>
          <w:szCs w:val="32"/>
          <w:u w:val="single"/>
          <w:lang w:val="en-US" w:eastAsia="zh-CN"/>
        </w:rPr>
        <w:t>3</w:t>
      </w:r>
      <w:r>
        <w:rPr>
          <w:sz w:val="24"/>
          <w:szCs w:val="32"/>
          <w:u w:val="single"/>
        </w:rPr>
        <w:t xml:space="preserve">0 </w:t>
      </w:r>
      <w:r>
        <w:rPr>
          <w:sz w:val="24"/>
          <w:szCs w:val="32"/>
        </w:rPr>
        <w:t>时，投标人须将按要求密封完好的投标文件以面交方式送达：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74"/>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评标结果公示：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eastAsia="宋体"/>
          <w:sz w:val="24"/>
          <w:szCs w:val="32"/>
          <w:lang w:eastAsia="zh-CN"/>
        </w:rPr>
      </w:pPr>
      <w:r>
        <w:rPr>
          <w:sz w:val="24"/>
          <w:szCs w:val="32"/>
        </w:rPr>
        <w:t>招标人在收到评标报告之日起 3 日内，将评标结果在</w:t>
      </w:r>
      <w:r>
        <w:rPr>
          <w:rFonts w:hint="eastAsia"/>
          <w:sz w:val="24"/>
          <w:szCs w:val="32"/>
          <w:lang w:eastAsia="zh-CN"/>
        </w:rPr>
        <w:t>四川省交通建设集团股份有限公司</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1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ascii="宋体" w:hAnsi="宋体" w:eastAsia="宋体" w:cs="宋体"/>
          <w:sz w:val="24"/>
          <w:szCs w:val="32"/>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14"/>
        <w:spacing w:before="161"/>
        <w:ind w:left="599"/>
        <w:rPr>
          <w:rFonts w:hint="eastAsia" w:eastAsia="宋体"/>
          <w:sz w:val="24"/>
          <w:szCs w:val="32"/>
          <w:lang w:eastAsia="zh-CN"/>
        </w:rPr>
      </w:pPr>
      <w:bookmarkStart w:id="5" w:name="_GoBack"/>
      <w:r>
        <w:rPr>
          <w:sz w:val="24"/>
          <w:szCs w:val="32"/>
        </w:rPr>
        <w:t>招 标 人：</w:t>
      </w:r>
      <w:r>
        <w:rPr>
          <w:rFonts w:hint="eastAsia"/>
          <w:sz w:val="24"/>
          <w:szCs w:val="32"/>
          <w:lang w:eastAsia="zh-CN"/>
        </w:rPr>
        <w:t>四川省交通建设集团股份有限公司</w:t>
      </w:r>
    </w:p>
    <w:p>
      <w:pPr>
        <w:pStyle w:val="1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1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1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14"/>
        <w:rPr>
          <w:sz w:val="24"/>
          <w:szCs w:val="32"/>
        </w:rPr>
      </w:pPr>
    </w:p>
    <w:p>
      <w:pPr>
        <w:pStyle w:val="14"/>
        <w:rPr>
          <w:sz w:val="24"/>
          <w:szCs w:val="32"/>
        </w:rPr>
      </w:pPr>
    </w:p>
    <w:p>
      <w:pPr>
        <w:pStyle w:val="14"/>
        <w:rPr>
          <w:sz w:val="24"/>
          <w:szCs w:val="32"/>
        </w:rPr>
      </w:pPr>
    </w:p>
    <w:p>
      <w:pPr>
        <w:pStyle w:val="14"/>
        <w:rPr>
          <w:sz w:val="24"/>
          <w:szCs w:val="32"/>
        </w:rPr>
      </w:pPr>
    </w:p>
    <w:p>
      <w:pPr>
        <w:pStyle w:val="14"/>
        <w:spacing w:before="9"/>
        <w:rPr>
          <w:sz w:val="32"/>
          <w:szCs w:val="32"/>
        </w:rPr>
      </w:pPr>
    </w:p>
    <w:p>
      <w:pPr>
        <w:pStyle w:val="1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spacing w:before="160"/>
        <w:ind w:left="6572"/>
        <w:rPr>
          <w:sz w:val="24"/>
          <w:szCs w:val="32"/>
        </w:rPr>
      </w:pPr>
      <w:r>
        <w:rPr>
          <w:sz w:val="24"/>
          <w:szCs w:val="32"/>
        </w:rPr>
        <w:t xml:space="preserve">2021 年 </w:t>
      </w:r>
      <w:r>
        <w:rPr>
          <w:rFonts w:hint="eastAsia"/>
          <w:sz w:val="24"/>
          <w:szCs w:val="32"/>
          <w:lang w:val="en-US" w:eastAsia="zh-CN"/>
        </w:rPr>
        <w:t>5</w:t>
      </w:r>
      <w:r>
        <w:rPr>
          <w:sz w:val="24"/>
          <w:szCs w:val="32"/>
        </w:rPr>
        <w:t xml:space="preserve"> 月 </w:t>
      </w:r>
      <w:r>
        <w:rPr>
          <w:rFonts w:hint="eastAsia"/>
          <w:sz w:val="24"/>
          <w:szCs w:val="32"/>
          <w:lang w:val="en-US" w:eastAsia="zh-CN"/>
        </w:rPr>
        <w:t>18</w:t>
      </w:r>
      <w:r>
        <w:rPr>
          <w:sz w:val="24"/>
          <w:szCs w:val="32"/>
        </w:rPr>
        <w:t xml:space="preserve"> 日</w:t>
      </w:r>
    </w:p>
    <w:p>
      <w:pPr>
        <w:spacing w:after="0"/>
        <w:rPr>
          <w:sz w:val="24"/>
          <w:szCs w:val="28"/>
        </w:rPr>
        <w:sectPr>
          <w:footerReference r:id="rId3" w:type="default"/>
          <w:pgSz w:w="11920" w:h="16840"/>
          <w:pgMar w:top="1540" w:right="1040" w:bottom="680" w:left="980" w:header="0" w:footer="494" w:gutter="0"/>
        </w:sectPr>
      </w:pPr>
    </w:p>
    <w:bookmarkEnd w:id="5"/>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14"/>
        <w:spacing w:before="5"/>
        <w:rPr>
          <w:rFonts w:ascii="仿宋"/>
          <w:b/>
          <w:sz w:val="28"/>
        </w:rPr>
      </w:pPr>
    </w:p>
    <w:tbl>
      <w:tblPr>
        <w:tblStyle w:val="2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56"/>
              <w:spacing w:before="15" w:line="253" w:lineRule="exact"/>
              <w:ind w:left="309" w:right="300"/>
              <w:jc w:val="center"/>
              <w:rPr>
                <w:sz w:val="21"/>
              </w:rPr>
            </w:pPr>
            <w:r>
              <w:rPr>
                <w:sz w:val="21"/>
              </w:rPr>
              <w:t>序号</w:t>
            </w:r>
          </w:p>
        </w:tc>
        <w:tc>
          <w:tcPr>
            <w:tcW w:w="1563" w:type="dxa"/>
          </w:tcPr>
          <w:p>
            <w:pPr>
              <w:pStyle w:val="56"/>
              <w:spacing w:before="15" w:line="253" w:lineRule="exact"/>
              <w:ind w:left="24" w:right="16"/>
              <w:jc w:val="center"/>
              <w:rPr>
                <w:sz w:val="21"/>
              </w:rPr>
            </w:pPr>
            <w:r>
              <w:rPr>
                <w:sz w:val="21"/>
              </w:rPr>
              <w:t>工 种</w:t>
            </w:r>
          </w:p>
        </w:tc>
        <w:tc>
          <w:tcPr>
            <w:tcW w:w="1714" w:type="dxa"/>
          </w:tcPr>
          <w:p>
            <w:pPr>
              <w:pStyle w:val="56"/>
              <w:spacing w:before="15" w:line="253" w:lineRule="exact"/>
              <w:ind w:right="428"/>
              <w:jc w:val="right"/>
              <w:rPr>
                <w:sz w:val="21"/>
              </w:rPr>
            </w:pPr>
            <w:r>
              <w:rPr>
                <w:w w:val="95"/>
                <w:sz w:val="21"/>
              </w:rPr>
              <w:t>工作任务</w:t>
            </w:r>
          </w:p>
        </w:tc>
        <w:tc>
          <w:tcPr>
            <w:tcW w:w="2796" w:type="dxa"/>
          </w:tcPr>
          <w:p>
            <w:pPr>
              <w:pStyle w:val="56"/>
              <w:spacing w:before="15" w:line="253" w:lineRule="exact"/>
              <w:ind w:left="956" w:right="949"/>
              <w:jc w:val="center"/>
              <w:rPr>
                <w:sz w:val="21"/>
              </w:rPr>
            </w:pPr>
            <w:r>
              <w:rPr>
                <w:sz w:val="21"/>
              </w:rPr>
              <w:t>最低要求</w:t>
            </w:r>
          </w:p>
        </w:tc>
        <w:tc>
          <w:tcPr>
            <w:tcW w:w="1275" w:type="dxa"/>
          </w:tcPr>
          <w:p>
            <w:pPr>
              <w:pStyle w:val="56"/>
              <w:spacing w:before="15" w:line="253" w:lineRule="exact"/>
              <w:ind w:left="404" w:right="400"/>
              <w:jc w:val="center"/>
              <w:rPr>
                <w:sz w:val="21"/>
              </w:rPr>
            </w:pPr>
            <w:r>
              <w:rPr>
                <w:sz w:val="21"/>
              </w:rPr>
              <w:t>人数</w:t>
            </w:r>
          </w:p>
        </w:tc>
        <w:tc>
          <w:tcPr>
            <w:tcW w:w="1072" w:type="dxa"/>
          </w:tcPr>
          <w:p>
            <w:pPr>
              <w:pStyle w:val="5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56"/>
              <w:spacing w:before="12"/>
              <w:rPr>
                <w:rFonts w:ascii="仿宋"/>
                <w:b/>
                <w:sz w:val="20"/>
              </w:rPr>
            </w:pPr>
          </w:p>
          <w:p>
            <w:pPr>
              <w:pStyle w:val="56"/>
              <w:ind w:left="8"/>
              <w:jc w:val="center"/>
              <w:rPr>
                <w:sz w:val="21"/>
              </w:rPr>
            </w:pPr>
            <w:r>
              <w:rPr>
                <w:w w:val="99"/>
                <w:sz w:val="21"/>
              </w:rPr>
              <w:t>1</w:t>
            </w:r>
          </w:p>
        </w:tc>
        <w:tc>
          <w:tcPr>
            <w:tcW w:w="1563" w:type="dxa"/>
          </w:tcPr>
          <w:p>
            <w:pPr>
              <w:pStyle w:val="56"/>
              <w:spacing w:before="12"/>
              <w:rPr>
                <w:rFonts w:ascii="仿宋"/>
                <w:b/>
                <w:sz w:val="20"/>
              </w:rPr>
            </w:pPr>
          </w:p>
          <w:p>
            <w:pPr>
              <w:pStyle w:val="56"/>
              <w:ind w:left="24" w:right="16"/>
              <w:jc w:val="center"/>
              <w:rPr>
                <w:sz w:val="21"/>
              </w:rPr>
            </w:pPr>
            <w:r>
              <w:rPr>
                <w:sz w:val="21"/>
              </w:rPr>
              <w:t>项目负责人</w:t>
            </w:r>
          </w:p>
        </w:tc>
        <w:tc>
          <w:tcPr>
            <w:tcW w:w="1714" w:type="dxa"/>
          </w:tcPr>
          <w:p>
            <w:pPr>
              <w:pStyle w:val="56"/>
              <w:spacing w:before="132" w:line="242" w:lineRule="auto"/>
              <w:ind w:left="15" w:right="3"/>
              <w:rPr>
                <w:sz w:val="21"/>
              </w:rPr>
            </w:pPr>
            <w:r>
              <w:rPr>
                <w:sz w:val="21"/>
              </w:rPr>
              <w:t>牵头负责项目总体工作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spacing w:before="12"/>
              <w:rPr>
                <w:rFonts w:ascii="仿宋"/>
                <w:b/>
                <w:sz w:val="20"/>
              </w:rPr>
            </w:pPr>
          </w:p>
          <w:p>
            <w:pPr>
              <w:pStyle w:val="56"/>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56"/>
              <w:rPr>
                <w:rFonts w:ascii="仿宋"/>
                <w:b/>
                <w:sz w:val="20"/>
              </w:rPr>
            </w:pPr>
          </w:p>
          <w:p>
            <w:pPr>
              <w:pStyle w:val="56"/>
              <w:spacing w:before="9"/>
              <w:rPr>
                <w:rFonts w:ascii="仿宋"/>
                <w:b/>
                <w:sz w:val="20"/>
              </w:rPr>
            </w:pPr>
          </w:p>
          <w:p>
            <w:pPr>
              <w:pStyle w:val="56"/>
              <w:spacing w:before="1"/>
              <w:ind w:left="8"/>
              <w:jc w:val="center"/>
              <w:rPr>
                <w:sz w:val="21"/>
              </w:rPr>
            </w:pPr>
            <w:r>
              <w:rPr>
                <w:w w:val="99"/>
                <w:sz w:val="21"/>
              </w:rPr>
              <w:t>2</w:t>
            </w:r>
          </w:p>
        </w:tc>
        <w:tc>
          <w:tcPr>
            <w:tcW w:w="1563" w:type="dxa"/>
          </w:tcPr>
          <w:p>
            <w:pPr>
              <w:pStyle w:val="56"/>
              <w:rPr>
                <w:rFonts w:ascii="仿宋"/>
                <w:b/>
                <w:sz w:val="20"/>
              </w:rPr>
            </w:pPr>
          </w:p>
          <w:p>
            <w:pPr>
              <w:pStyle w:val="56"/>
              <w:spacing w:before="9"/>
              <w:rPr>
                <w:rFonts w:ascii="仿宋"/>
                <w:b/>
                <w:sz w:val="20"/>
              </w:rPr>
            </w:pPr>
          </w:p>
          <w:p>
            <w:pPr>
              <w:pStyle w:val="56"/>
              <w:spacing w:before="1"/>
              <w:ind w:left="24" w:right="18"/>
              <w:jc w:val="center"/>
              <w:rPr>
                <w:sz w:val="21"/>
              </w:rPr>
            </w:pPr>
            <w:r>
              <w:rPr>
                <w:sz w:val="21"/>
              </w:rPr>
              <w:t>项目技术负责人</w:t>
            </w:r>
          </w:p>
        </w:tc>
        <w:tc>
          <w:tcPr>
            <w:tcW w:w="1714" w:type="dxa"/>
          </w:tcPr>
          <w:p>
            <w:pPr>
              <w:pStyle w:val="56"/>
              <w:spacing w:before="7"/>
              <w:rPr>
                <w:rFonts w:ascii="仿宋"/>
                <w:b/>
                <w:sz w:val="19"/>
              </w:rPr>
            </w:pPr>
          </w:p>
          <w:p>
            <w:pPr>
              <w:pStyle w:val="56"/>
              <w:spacing w:line="242" w:lineRule="auto"/>
              <w:ind w:left="15" w:right="3"/>
              <w:jc w:val="both"/>
              <w:rPr>
                <w:sz w:val="21"/>
              </w:rPr>
            </w:pPr>
            <w:r>
              <w:rPr>
                <w:sz w:val="21"/>
              </w:rPr>
              <w:t>协助项目负责人负责项目进度、质量工作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rPr>
                <w:rFonts w:ascii="仿宋"/>
                <w:b/>
                <w:sz w:val="20"/>
              </w:rPr>
            </w:pPr>
          </w:p>
          <w:p>
            <w:pPr>
              <w:pStyle w:val="56"/>
              <w:spacing w:before="9"/>
              <w:rPr>
                <w:rFonts w:ascii="仿宋"/>
                <w:b/>
                <w:sz w:val="20"/>
              </w:rPr>
            </w:pPr>
          </w:p>
          <w:p>
            <w:pPr>
              <w:pStyle w:val="56"/>
              <w:spacing w:before="1"/>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56"/>
              <w:rPr>
                <w:rFonts w:ascii="仿宋"/>
                <w:b/>
                <w:sz w:val="20"/>
              </w:rPr>
            </w:pPr>
          </w:p>
          <w:p>
            <w:pPr>
              <w:pStyle w:val="56"/>
              <w:spacing w:before="139"/>
              <w:ind w:left="8"/>
              <w:jc w:val="center"/>
              <w:rPr>
                <w:sz w:val="21"/>
              </w:rPr>
            </w:pPr>
            <w:r>
              <w:rPr>
                <w:w w:val="99"/>
                <w:sz w:val="21"/>
              </w:rPr>
              <w:t>3</w:t>
            </w:r>
          </w:p>
        </w:tc>
        <w:tc>
          <w:tcPr>
            <w:tcW w:w="1563" w:type="dxa"/>
          </w:tcPr>
          <w:p>
            <w:pPr>
              <w:pStyle w:val="56"/>
              <w:rPr>
                <w:rFonts w:ascii="仿宋"/>
                <w:b/>
                <w:sz w:val="20"/>
              </w:rPr>
            </w:pPr>
          </w:p>
          <w:p>
            <w:pPr>
              <w:pStyle w:val="56"/>
              <w:spacing w:before="139"/>
              <w:ind w:left="24" w:right="16"/>
              <w:jc w:val="center"/>
              <w:rPr>
                <w:sz w:val="21"/>
              </w:rPr>
            </w:pPr>
            <w:r>
              <w:rPr>
                <w:sz w:val="21"/>
              </w:rPr>
              <w:t>安全负责人</w:t>
            </w:r>
          </w:p>
        </w:tc>
        <w:tc>
          <w:tcPr>
            <w:tcW w:w="1714" w:type="dxa"/>
          </w:tcPr>
          <w:p>
            <w:pPr>
              <w:pStyle w:val="56"/>
              <w:spacing w:before="4"/>
              <w:rPr>
                <w:rFonts w:ascii="仿宋"/>
                <w:b/>
                <w:sz w:val="20"/>
              </w:rPr>
            </w:pPr>
          </w:p>
          <w:p>
            <w:pPr>
              <w:pStyle w:val="56"/>
              <w:spacing w:line="242" w:lineRule="auto"/>
              <w:ind w:left="15" w:right="3"/>
              <w:rPr>
                <w:sz w:val="21"/>
              </w:rPr>
            </w:pPr>
            <w:r>
              <w:rPr>
                <w:sz w:val="21"/>
              </w:rPr>
              <w:t>协助项目负责人负责安全管理工作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具有3年及以上高速公路土建养护施工安全工作经验。</w:t>
            </w:r>
          </w:p>
        </w:tc>
        <w:tc>
          <w:tcPr>
            <w:tcW w:w="1275" w:type="dxa"/>
          </w:tcPr>
          <w:p>
            <w:pPr>
              <w:pStyle w:val="56"/>
              <w:rPr>
                <w:rFonts w:ascii="仿宋"/>
                <w:b/>
                <w:sz w:val="20"/>
              </w:rPr>
            </w:pPr>
          </w:p>
          <w:p>
            <w:pPr>
              <w:pStyle w:val="56"/>
              <w:spacing w:before="139"/>
              <w:ind w:left="7"/>
              <w:jc w:val="center"/>
              <w:rPr>
                <w:sz w:val="21"/>
              </w:rPr>
            </w:pPr>
            <w:r>
              <w:rPr>
                <w:w w:val="99"/>
                <w:sz w:val="21"/>
              </w:rPr>
              <w:t>1</w:t>
            </w:r>
          </w:p>
        </w:tc>
        <w:tc>
          <w:tcPr>
            <w:tcW w:w="1072" w:type="dxa"/>
          </w:tcPr>
          <w:p>
            <w:pPr>
              <w:pStyle w:val="5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1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14"/>
        <w:spacing w:before="5"/>
        <w:rPr>
          <w:rFonts w:ascii="仿宋"/>
          <w:b/>
          <w:sz w:val="16"/>
        </w:rPr>
      </w:pPr>
    </w:p>
    <w:tbl>
      <w:tblPr>
        <w:tblStyle w:val="2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装载机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斗容量</w:t>
            </w:r>
            <w:r>
              <w:rPr>
                <w:rFonts w:hint="eastAsia" w:ascii="宋体" w:hAnsi="宋体" w:cs="宋体"/>
                <w:i w:val="0"/>
                <w:color w:val="auto"/>
                <w:kern w:val="0"/>
                <w:sz w:val="21"/>
                <w:szCs w:val="21"/>
                <w:highlight w:val="none"/>
                <w:u w:val="none"/>
                <w:lang w:val="en-US" w:eastAsia="zh-CN" w:bidi="ar"/>
              </w:rPr>
              <w:t>2</w:t>
            </w:r>
            <w:r>
              <w:rPr>
                <w:rFonts w:hint="default" w:ascii="宋体" w:hAnsi="宋体" w:eastAsia="宋体" w:cs="宋体"/>
                <w:i w:val="0"/>
                <w:color w:val="auto"/>
                <w:kern w:val="0"/>
                <w:sz w:val="21"/>
                <w:szCs w:val="21"/>
                <w:highlight w:val="none"/>
                <w:u w:val="none"/>
                <w:lang w:val="en-US" w:eastAsia="zh-CN" w:bidi="ar"/>
              </w:rPr>
              <w:t>.0m3</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吊车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12t</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挖掘机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斗容量</w:t>
            </w:r>
            <w:r>
              <w:rPr>
                <w:rFonts w:hint="eastAsia" w:ascii="宋体" w:hAnsi="宋体" w:cs="宋体"/>
                <w:i w:val="0"/>
                <w:color w:val="auto"/>
                <w:kern w:val="0"/>
                <w:sz w:val="21"/>
                <w:szCs w:val="21"/>
                <w:highlight w:val="none"/>
                <w:u w:val="none"/>
                <w:lang w:val="en-US" w:eastAsia="zh-CN" w:bidi="ar"/>
              </w:rPr>
              <w:t>2</w:t>
            </w:r>
            <w:r>
              <w:rPr>
                <w:rFonts w:hint="default" w:ascii="宋体" w:hAnsi="宋体" w:eastAsia="宋体" w:cs="宋体"/>
                <w:i w:val="0"/>
                <w:color w:val="auto"/>
                <w:kern w:val="0"/>
                <w:sz w:val="21"/>
                <w:szCs w:val="21"/>
                <w:highlight w:val="none"/>
                <w:u w:val="none"/>
                <w:lang w:val="en-US" w:eastAsia="zh-CN" w:bidi="ar"/>
              </w:rPr>
              <w:t>.0m3</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1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color w:val="auto"/>
          <w:highlight w:val="none"/>
        </w:rPr>
      </w:pPr>
      <w:r>
        <w:rPr>
          <w:sz w:val="18"/>
        </w:rPr>
        <w:t>3、自有设备需提供购买发票或公证机关出具的公证书。</w:t>
      </w:r>
      <w:bookmarkEnd w:id="2"/>
      <w:bookmarkEnd w:id="3"/>
      <w:bookmarkEnd w:id="4"/>
    </w:p>
    <w:p>
      <w:pPr>
        <w:rPr>
          <w:color w:val="auto"/>
          <w:highlight w:val="none"/>
        </w:rPr>
      </w:pPr>
    </w:p>
    <w:p>
      <w:pPr>
        <w:rPr>
          <w:color w:val="auto"/>
          <w:highlight w:val="none"/>
        </w:rPr>
      </w:pPr>
    </w:p>
    <w:p>
      <w:pPr>
        <w:rPr>
          <w:color w:val="auto"/>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73AAEDD-83DD-4D1C-88C0-9AAAB4210CB4}"/>
  </w:font>
  <w:font w:name="Arial">
    <w:panose1 w:val="020B0604020202020204"/>
    <w:charset w:val="01"/>
    <w:family w:val="swiss"/>
    <w:pitch w:val="default"/>
    <w:sig w:usb0="E0002EFF" w:usb1="C000785B" w:usb2="00000009" w:usb3="00000000" w:csb0="400001FF" w:csb1="FFFF0000"/>
    <w:embedRegular r:id="rId2" w:fontKey="{5AB1F4E5-2E47-4F4F-A0ED-87DED2A418A8}"/>
  </w:font>
  <w:font w:name="黑体">
    <w:panose1 w:val="02010609060101010101"/>
    <w:charset w:val="86"/>
    <w:family w:val="auto"/>
    <w:pitch w:val="default"/>
    <w:sig w:usb0="800002BF" w:usb1="38CF7CFA" w:usb2="00000016" w:usb3="00000000" w:csb0="00040001" w:csb1="00000000"/>
    <w:embedRegular r:id="rId3" w:fontKey="{8FFBD0D7-30F9-4CCA-99AA-4CD6756216CE}"/>
  </w:font>
  <w:font w:name="Courier New">
    <w:panose1 w:val="02070309020205020404"/>
    <w:charset w:val="01"/>
    <w:family w:val="modern"/>
    <w:pitch w:val="default"/>
    <w:sig w:usb0="E0002EFF" w:usb1="C0007843" w:usb2="00000009" w:usb3="00000000" w:csb0="400001FF" w:csb1="FFFF0000"/>
    <w:embedRegular r:id="rId4" w:fontKey="{0EB7C059-63D5-4247-AAB3-CBD608E21475}"/>
  </w:font>
  <w:font w:name="Symbol">
    <w:panose1 w:val="05050102010706020507"/>
    <w:charset w:val="02"/>
    <w:family w:val="roman"/>
    <w:pitch w:val="default"/>
    <w:sig w:usb0="00000000" w:usb1="00000000" w:usb2="00000000" w:usb3="00000000" w:csb0="80000000" w:csb1="00000000"/>
    <w:embedRegular r:id="rId5" w:fontKey="{0885F154-277F-4E01-AC5A-21E28EFE220F}"/>
  </w:font>
  <w:font w:name="Calibri">
    <w:panose1 w:val="020F0502020204030204"/>
    <w:charset w:val="00"/>
    <w:family w:val="swiss"/>
    <w:pitch w:val="default"/>
    <w:sig w:usb0="E4002EFF" w:usb1="C000247B" w:usb2="00000009" w:usb3="00000000" w:csb0="200001FF" w:csb1="00000000"/>
    <w:embedRegular r:id="rId6" w:fontKey="{C3CA392D-733D-4701-8D14-EC47E99323A1}"/>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7" w:fontKey="{B808D9CE-2E7D-4C50-9B98-B7ED00959E97}"/>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8" w:fontKey="{69C903C3-4491-4413-AA9C-45BE908A28FD}"/>
  </w:font>
  <w:font w:name="方正仿宋_GB2312">
    <w:panose1 w:val="02000000000000000000"/>
    <w:charset w:val="86"/>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mc:AlternateContent>
        <mc:Choice Requires="wps">
          <w:drawing>
            <wp:anchor distT="0" distB="0" distL="114300" distR="114300" simplePos="0" relativeHeight="246463488"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6852992;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tzAKt2gAAAA0BAAAPAAAAAAAA&#10;AAEAIAAAACIAAABkcnMvZG93bnJldi54bWxQSwECFAAUAAAACACHTuJAHxtQdZ4BAAAkAwAADgAA&#10;AAAAAAABACAAAAApAQAAZHJzL2Uyb0RvYy54bWxQSwUGAAAAAAYABgBZAQAAOQ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390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9B2450"/>
    <w:rsid w:val="01C91FF6"/>
    <w:rsid w:val="02234285"/>
    <w:rsid w:val="027548F6"/>
    <w:rsid w:val="02947015"/>
    <w:rsid w:val="034278EB"/>
    <w:rsid w:val="034362AF"/>
    <w:rsid w:val="036478D0"/>
    <w:rsid w:val="03722D3D"/>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70332AF"/>
    <w:rsid w:val="070C5B8C"/>
    <w:rsid w:val="07173A6F"/>
    <w:rsid w:val="07245E72"/>
    <w:rsid w:val="07410DB8"/>
    <w:rsid w:val="075C34C3"/>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F909D7"/>
    <w:rsid w:val="09F96C7D"/>
    <w:rsid w:val="0A085C42"/>
    <w:rsid w:val="0A1259E5"/>
    <w:rsid w:val="0A133C01"/>
    <w:rsid w:val="0A155AEE"/>
    <w:rsid w:val="0A2E1D1D"/>
    <w:rsid w:val="0A5A29D1"/>
    <w:rsid w:val="0A746A0D"/>
    <w:rsid w:val="0B006D47"/>
    <w:rsid w:val="0B1F5AF9"/>
    <w:rsid w:val="0B623651"/>
    <w:rsid w:val="0B8762BB"/>
    <w:rsid w:val="0BF66816"/>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D41E16"/>
    <w:rsid w:val="11D835A0"/>
    <w:rsid w:val="11E06AF2"/>
    <w:rsid w:val="123020E5"/>
    <w:rsid w:val="125127A7"/>
    <w:rsid w:val="126814C5"/>
    <w:rsid w:val="12824447"/>
    <w:rsid w:val="12936E42"/>
    <w:rsid w:val="12B73EE6"/>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46ED4"/>
    <w:rsid w:val="156B6FF0"/>
    <w:rsid w:val="15760107"/>
    <w:rsid w:val="15944091"/>
    <w:rsid w:val="15965061"/>
    <w:rsid w:val="15C04CD1"/>
    <w:rsid w:val="15D55118"/>
    <w:rsid w:val="16503E01"/>
    <w:rsid w:val="165528D8"/>
    <w:rsid w:val="165F6B34"/>
    <w:rsid w:val="167F7D95"/>
    <w:rsid w:val="168603C6"/>
    <w:rsid w:val="16995E37"/>
    <w:rsid w:val="16A86D68"/>
    <w:rsid w:val="16C97346"/>
    <w:rsid w:val="16FE3947"/>
    <w:rsid w:val="1703535A"/>
    <w:rsid w:val="171522DC"/>
    <w:rsid w:val="17666F98"/>
    <w:rsid w:val="177259D8"/>
    <w:rsid w:val="17A32577"/>
    <w:rsid w:val="17B923D1"/>
    <w:rsid w:val="180C71CD"/>
    <w:rsid w:val="18247111"/>
    <w:rsid w:val="182714AF"/>
    <w:rsid w:val="185F2A6A"/>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F45F6"/>
    <w:rsid w:val="1F6E44D2"/>
    <w:rsid w:val="1F7D0F50"/>
    <w:rsid w:val="1F8F10C7"/>
    <w:rsid w:val="1FD44AF3"/>
    <w:rsid w:val="1FF23782"/>
    <w:rsid w:val="20162717"/>
    <w:rsid w:val="201C088D"/>
    <w:rsid w:val="202B2103"/>
    <w:rsid w:val="20581546"/>
    <w:rsid w:val="20A124BD"/>
    <w:rsid w:val="20E92668"/>
    <w:rsid w:val="20EA64A4"/>
    <w:rsid w:val="20FC7DFE"/>
    <w:rsid w:val="21194890"/>
    <w:rsid w:val="2122760F"/>
    <w:rsid w:val="218552F5"/>
    <w:rsid w:val="21A007BF"/>
    <w:rsid w:val="21E12D84"/>
    <w:rsid w:val="21E51176"/>
    <w:rsid w:val="222E3E6C"/>
    <w:rsid w:val="22324A93"/>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85BD5"/>
    <w:rsid w:val="246705F6"/>
    <w:rsid w:val="248728FC"/>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805EFB"/>
    <w:rsid w:val="27D069C1"/>
    <w:rsid w:val="27DF258E"/>
    <w:rsid w:val="28071DA7"/>
    <w:rsid w:val="283C4EC2"/>
    <w:rsid w:val="28801DAF"/>
    <w:rsid w:val="28824261"/>
    <w:rsid w:val="28A21209"/>
    <w:rsid w:val="28A8449C"/>
    <w:rsid w:val="28AF029D"/>
    <w:rsid w:val="28C248C5"/>
    <w:rsid w:val="28D00307"/>
    <w:rsid w:val="295236BE"/>
    <w:rsid w:val="295E5289"/>
    <w:rsid w:val="29707129"/>
    <w:rsid w:val="29C244A8"/>
    <w:rsid w:val="29D821A5"/>
    <w:rsid w:val="29E62C14"/>
    <w:rsid w:val="2AC042A6"/>
    <w:rsid w:val="2AFE72EC"/>
    <w:rsid w:val="2B113DE4"/>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72910"/>
    <w:rsid w:val="2D78124C"/>
    <w:rsid w:val="2DC115AC"/>
    <w:rsid w:val="2DDB6FEC"/>
    <w:rsid w:val="2E251A45"/>
    <w:rsid w:val="2E271CEA"/>
    <w:rsid w:val="2E4076B1"/>
    <w:rsid w:val="2E421CC3"/>
    <w:rsid w:val="2E4B2579"/>
    <w:rsid w:val="2EB171DB"/>
    <w:rsid w:val="2ECD1C57"/>
    <w:rsid w:val="2ECE01E6"/>
    <w:rsid w:val="2FA6746F"/>
    <w:rsid w:val="2FD24B0B"/>
    <w:rsid w:val="30066B4C"/>
    <w:rsid w:val="302A5D98"/>
    <w:rsid w:val="303F6D0C"/>
    <w:rsid w:val="30750BB0"/>
    <w:rsid w:val="308B77AC"/>
    <w:rsid w:val="30BF263A"/>
    <w:rsid w:val="30E970BF"/>
    <w:rsid w:val="3159016F"/>
    <w:rsid w:val="31655D79"/>
    <w:rsid w:val="319054FC"/>
    <w:rsid w:val="31B203FE"/>
    <w:rsid w:val="31BC2A8F"/>
    <w:rsid w:val="31CC17DD"/>
    <w:rsid w:val="31DC475C"/>
    <w:rsid w:val="31F97FD8"/>
    <w:rsid w:val="32016C00"/>
    <w:rsid w:val="320B5870"/>
    <w:rsid w:val="32440235"/>
    <w:rsid w:val="32835E71"/>
    <w:rsid w:val="32927AB6"/>
    <w:rsid w:val="32BD3BA6"/>
    <w:rsid w:val="32C73E60"/>
    <w:rsid w:val="32D46C27"/>
    <w:rsid w:val="32EE21B3"/>
    <w:rsid w:val="33092E4B"/>
    <w:rsid w:val="330F23DF"/>
    <w:rsid w:val="334A3DA1"/>
    <w:rsid w:val="33575211"/>
    <w:rsid w:val="33610ADB"/>
    <w:rsid w:val="33651C7A"/>
    <w:rsid w:val="33704A21"/>
    <w:rsid w:val="33B63C32"/>
    <w:rsid w:val="33BA3EA4"/>
    <w:rsid w:val="34131012"/>
    <w:rsid w:val="342E2B39"/>
    <w:rsid w:val="34356CAE"/>
    <w:rsid w:val="343A5365"/>
    <w:rsid w:val="343C4A89"/>
    <w:rsid w:val="343D7BFD"/>
    <w:rsid w:val="34460FFB"/>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865704"/>
    <w:rsid w:val="37AA374C"/>
    <w:rsid w:val="37B7019D"/>
    <w:rsid w:val="37EF340E"/>
    <w:rsid w:val="38076476"/>
    <w:rsid w:val="380C2DC6"/>
    <w:rsid w:val="3842120B"/>
    <w:rsid w:val="384C4AA6"/>
    <w:rsid w:val="38507FD8"/>
    <w:rsid w:val="38527D94"/>
    <w:rsid w:val="38D12AAE"/>
    <w:rsid w:val="38E52E04"/>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E18AA"/>
    <w:rsid w:val="3B032819"/>
    <w:rsid w:val="3B0A2777"/>
    <w:rsid w:val="3B4548DF"/>
    <w:rsid w:val="3B965406"/>
    <w:rsid w:val="3BB52600"/>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5705"/>
    <w:rsid w:val="3F5C3EA3"/>
    <w:rsid w:val="3F692609"/>
    <w:rsid w:val="3F7F3352"/>
    <w:rsid w:val="3F970547"/>
    <w:rsid w:val="3FAF3DDC"/>
    <w:rsid w:val="3FDB7A9D"/>
    <w:rsid w:val="3FF25E78"/>
    <w:rsid w:val="3FFA1DD9"/>
    <w:rsid w:val="40275D83"/>
    <w:rsid w:val="402D4028"/>
    <w:rsid w:val="403B53CB"/>
    <w:rsid w:val="40424E24"/>
    <w:rsid w:val="406A2185"/>
    <w:rsid w:val="406F544B"/>
    <w:rsid w:val="40A25FF6"/>
    <w:rsid w:val="40F86B2E"/>
    <w:rsid w:val="41273C23"/>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9A2059"/>
    <w:rsid w:val="44B0658B"/>
    <w:rsid w:val="44D02B10"/>
    <w:rsid w:val="44D516EE"/>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8B347D"/>
    <w:rsid w:val="47921F8A"/>
    <w:rsid w:val="47A745F8"/>
    <w:rsid w:val="47EC32EA"/>
    <w:rsid w:val="480E0A81"/>
    <w:rsid w:val="481B40CF"/>
    <w:rsid w:val="483303DA"/>
    <w:rsid w:val="48333627"/>
    <w:rsid w:val="48374D19"/>
    <w:rsid w:val="48490DA6"/>
    <w:rsid w:val="48860C72"/>
    <w:rsid w:val="48921234"/>
    <w:rsid w:val="48C418C2"/>
    <w:rsid w:val="48DD3095"/>
    <w:rsid w:val="49107D77"/>
    <w:rsid w:val="494E1EB4"/>
    <w:rsid w:val="49561F9E"/>
    <w:rsid w:val="496E6638"/>
    <w:rsid w:val="49744E2A"/>
    <w:rsid w:val="49796327"/>
    <w:rsid w:val="497965F4"/>
    <w:rsid w:val="49BB065D"/>
    <w:rsid w:val="49FC189B"/>
    <w:rsid w:val="4A0369C7"/>
    <w:rsid w:val="4A09391A"/>
    <w:rsid w:val="4A3261E7"/>
    <w:rsid w:val="4A6A5847"/>
    <w:rsid w:val="4AA3589F"/>
    <w:rsid w:val="4AB736D4"/>
    <w:rsid w:val="4AD06F3E"/>
    <w:rsid w:val="4AD44E51"/>
    <w:rsid w:val="4ADE2AF8"/>
    <w:rsid w:val="4ADE733B"/>
    <w:rsid w:val="4AEC78E8"/>
    <w:rsid w:val="4B0602A9"/>
    <w:rsid w:val="4B1605E7"/>
    <w:rsid w:val="4B2C35C0"/>
    <w:rsid w:val="4B5B1005"/>
    <w:rsid w:val="4B905361"/>
    <w:rsid w:val="4B917BB9"/>
    <w:rsid w:val="4B947EF6"/>
    <w:rsid w:val="4BA071F5"/>
    <w:rsid w:val="4BA37F66"/>
    <w:rsid w:val="4BA4193C"/>
    <w:rsid w:val="4BE6156D"/>
    <w:rsid w:val="4BEB6C94"/>
    <w:rsid w:val="4BF03B16"/>
    <w:rsid w:val="4C153E89"/>
    <w:rsid w:val="4C3B412E"/>
    <w:rsid w:val="4C664B02"/>
    <w:rsid w:val="4C6A3E04"/>
    <w:rsid w:val="4CAC3A92"/>
    <w:rsid w:val="4CC8688D"/>
    <w:rsid w:val="4CD76021"/>
    <w:rsid w:val="4CD84EE4"/>
    <w:rsid w:val="4D1C5ED8"/>
    <w:rsid w:val="4D6348B3"/>
    <w:rsid w:val="4D6C4BDC"/>
    <w:rsid w:val="4DA613A2"/>
    <w:rsid w:val="4DA85876"/>
    <w:rsid w:val="4DDE6C92"/>
    <w:rsid w:val="4DF11888"/>
    <w:rsid w:val="4DF6643F"/>
    <w:rsid w:val="4DFF215A"/>
    <w:rsid w:val="4E565EA6"/>
    <w:rsid w:val="4E6B46A8"/>
    <w:rsid w:val="4E764E55"/>
    <w:rsid w:val="4E990636"/>
    <w:rsid w:val="4ED90125"/>
    <w:rsid w:val="4F31554C"/>
    <w:rsid w:val="4F3B42D5"/>
    <w:rsid w:val="4FA85D92"/>
    <w:rsid w:val="4FAB4D2C"/>
    <w:rsid w:val="4FBA1889"/>
    <w:rsid w:val="4FDA224F"/>
    <w:rsid w:val="4FED2DDF"/>
    <w:rsid w:val="4FEF7AEE"/>
    <w:rsid w:val="50095726"/>
    <w:rsid w:val="501F36BB"/>
    <w:rsid w:val="50A00E0A"/>
    <w:rsid w:val="50BB08FC"/>
    <w:rsid w:val="5106751E"/>
    <w:rsid w:val="512F3500"/>
    <w:rsid w:val="513348AF"/>
    <w:rsid w:val="513C653B"/>
    <w:rsid w:val="513D4B79"/>
    <w:rsid w:val="5140740F"/>
    <w:rsid w:val="51433690"/>
    <w:rsid w:val="51A96C62"/>
    <w:rsid w:val="51B2563A"/>
    <w:rsid w:val="51D46736"/>
    <w:rsid w:val="52133ED1"/>
    <w:rsid w:val="52254821"/>
    <w:rsid w:val="5229620E"/>
    <w:rsid w:val="525715FF"/>
    <w:rsid w:val="52590E5E"/>
    <w:rsid w:val="52735112"/>
    <w:rsid w:val="528D06DC"/>
    <w:rsid w:val="52CC61FB"/>
    <w:rsid w:val="52D617C8"/>
    <w:rsid w:val="52FE0DB8"/>
    <w:rsid w:val="53161B10"/>
    <w:rsid w:val="53373072"/>
    <w:rsid w:val="53695580"/>
    <w:rsid w:val="53863DCC"/>
    <w:rsid w:val="53882A28"/>
    <w:rsid w:val="539D5520"/>
    <w:rsid w:val="53B350FB"/>
    <w:rsid w:val="53BB3343"/>
    <w:rsid w:val="53D65619"/>
    <w:rsid w:val="540B4106"/>
    <w:rsid w:val="540E5ECC"/>
    <w:rsid w:val="54170EF4"/>
    <w:rsid w:val="54407A01"/>
    <w:rsid w:val="546F44C9"/>
    <w:rsid w:val="5479497B"/>
    <w:rsid w:val="54BB42D3"/>
    <w:rsid w:val="54F9336F"/>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EB006E"/>
    <w:rsid w:val="56F9628E"/>
    <w:rsid w:val="56FA5717"/>
    <w:rsid w:val="57365F3B"/>
    <w:rsid w:val="57586B75"/>
    <w:rsid w:val="57C71611"/>
    <w:rsid w:val="581E201D"/>
    <w:rsid w:val="58240A08"/>
    <w:rsid w:val="583F18BE"/>
    <w:rsid w:val="58435AD6"/>
    <w:rsid w:val="585B7DD9"/>
    <w:rsid w:val="58621E13"/>
    <w:rsid w:val="58697903"/>
    <w:rsid w:val="587C13E9"/>
    <w:rsid w:val="587F5437"/>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B26"/>
    <w:rsid w:val="5B0E7C47"/>
    <w:rsid w:val="5B117010"/>
    <w:rsid w:val="5B1A089C"/>
    <w:rsid w:val="5B2643D5"/>
    <w:rsid w:val="5B3F59D4"/>
    <w:rsid w:val="5B5432A8"/>
    <w:rsid w:val="5B554385"/>
    <w:rsid w:val="5B5C27E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324A8A"/>
    <w:rsid w:val="5D421302"/>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B26AA"/>
    <w:rsid w:val="5F4B4BE4"/>
    <w:rsid w:val="5F625880"/>
    <w:rsid w:val="5F723BFE"/>
    <w:rsid w:val="5FB14CFA"/>
    <w:rsid w:val="5FBF0852"/>
    <w:rsid w:val="5FC92450"/>
    <w:rsid w:val="5FCE1D2A"/>
    <w:rsid w:val="5FD15E6D"/>
    <w:rsid w:val="600A7A52"/>
    <w:rsid w:val="600E4F66"/>
    <w:rsid w:val="602077B4"/>
    <w:rsid w:val="60225B1F"/>
    <w:rsid w:val="603471A3"/>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D06EB"/>
    <w:rsid w:val="63A10D8E"/>
    <w:rsid w:val="63AC0D80"/>
    <w:rsid w:val="63BE4F58"/>
    <w:rsid w:val="63F43FAB"/>
    <w:rsid w:val="64186569"/>
    <w:rsid w:val="64285483"/>
    <w:rsid w:val="64381A78"/>
    <w:rsid w:val="646F04AB"/>
    <w:rsid w:val="64B46834"/>
    <w:rsid w:val="64F753A2"/>
    <w:rsid w:val="653827A3"/>
    <w:rsid w:val="654F060F"/>
    <w:rsid w:val="6558515D"/>
    <w:rsid w:val="65585701"/>
    <w:rsid w:val="6562171C"/>
    <w:rsid w:val="6571508C"/>
    <w:rsid w:val="65AC62AE"/>
    <w:rsid w:val="65D50F90"/>
    <w:rsid w:val="65D85914"/>
    <w:rsid w:val="6602547B"/>
    <w:rsid w:val="66056572"/>
    <w:rsid w:val="661F0A0E"/>
    <w:rsid w:val="665808C5"/>
    <w:rsid w:val="665A3237"/>
    <w:rsid w:val="66630770"/>
    <w:rsid w:val="667D022D"/>
    <w:rsid w:val="669D679D"/>
    <w:rsid w:val="66A22432"/>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321C34"/>
    <w:rsid w:val="69617D60"/>
    <w:rsid w:val="69687412"/>
    <w:rsid w:val="696C1A28"/>
    <w:rsid w:val="699B73A8"/>
    <w:rsid w:val="69AE784A"/>
    <w:rsid w:val="69FE6806"/>
    <w:rsid w:val="6A0404A9"/>
    <w:rsid w:val="6A6F611E"/>
    <w:rsid w:val="6A827B75"/>
    <w:rsid w:val="6A840BC2"/>
    <w:rsid w:val="6A906CC0"/>
    <w:rsid w:val="6A9F5EAD"/>
    <w:rsid w:val="6ACD410B"/>
    <w:rsid w:val="6ADA4300"/>
    <w:rsid w:val="6AEC6124"/>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35825"/>
    <w:rsid w:val="6D4B5A55"/>
    <w:rsid w:val="6D734E8A"/>
    <w:rsid w:val="6DD01D70"/>
    <w:rsid w:val="6DFC7E3E"/>
    <w:rsid w:val="6E0013E7"/>
    <w:rsid w:val="6E120D2A"/>
    <w:rsid w:val="6E3E2D07"/>
    <w:rsid w:val="6E4D6901"/>
    <w:rsid w:val="6E931B18"/>
    <w:rsid w:val="6E9B0DD8"/>
    <w:rsid w:val="6ED22F4B"/>
    <w:rsid w:val="6EEA3AFD"/>
    <w:rsid w:val="6F127145"/>
    <w:rsid w:val="6F243B76"/>
    <w:rsid w:val="6F4C72F5"/>
    <w:rsid w:val="6F4D20C4"/>
    <w:rsid w:val="6F7C1FEF"/>
    <w:rsid w:val="6FCD37EF"/>
    <w:rsid w:val="6FD54B20"/>
    <w:rsid w:val="700A3DAB"/>
    <w:rsid w:val="70267678"/>
    <w:rsid w:val="706B282E"/>
    <w:rsid w:val="70880520"/>
    <w:rsid w:val="715F13CC"/>
    <w:rsid w:val="71715FC4"/>
    <w:rsid w:val="717432E7"/>
    <w:rsid w:val="71A028DC"/>
    <w:rsid w:val="71E7354A"/>
    <w:rsid w:val="71FA78BE"/>
    <w:rsid w:val="721065A7"/>
    <w:rsid w:val="72262F4F"/>
    <w:rsid w:val="72404167"/>
    <w:rsid w:val="727D2798"/>
    <w:rsid w:val="72B02B60"/>
    <w:rsid w:val="72DC2FC4"/>
    <w:rsid w:val="73065251"/>
    <w:rsid w:val="7361339E"/>
    <w:rsid w:val="73644F8E"/>
    <w:rsid w:val="73874401"/>
    <w:rsid w:val="73986F17"/>
    <w:rsid w:val="73C6306F"/>
    <w:rsid w:val="741E15E9"/>
    <w:rsid w:val="74583100"/>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463E8"/>
    <w:rsid w:val="76003B68"/>
    <w:rsid w:val="76277998"/>
    <w:rsid w:val="764A2175"/>
    <w:rsid w:val="76995DBC"/>
    <w:rsid w:val="76C1141F"/>
    <w:rsid w:val="76CB6B21"/>
    <w:rsid w:val="76D0411E"/>
    <w:rsid w:val="76E31184"/>
    <w:rsid w:val="76F335C5"/>
    <w:rsid w:val="770C2128"/>
    <w:rsid w:val="774C41D4"/>
    <w:rsid w:val="774F1A24"/>
    <w:rsid w:val="775532E3"/>
    <w:rsid w:val="775727A2"/>
    <w:rsid w:val="77585489"/>
    <w:rsid w:val="77A5337F"/>
    <w:rsid w:val="77B42F9B"/>
    <w:rsid w:val="77E5399A"/>
    <w:rsid w:val="77F97C45"/>
    <w:rsid w:val="781100F3"/>
    <w:rsid w:val="78280476"/>
    <w:rsid w:val="782B0ADA"/>
    <w:rsid w:val="784E58D4"/>
    <w:rsid w:val="78517809"/>
    <w:rsid w:val="785A5064"/>
    <w:rsid w:val="78720DAC"/>
    <w:rsid w:val="789A5B12"/>
    <w:rsid w:val="78DD4D40"/>
    <w:rsid w:val="79000C5D"/>
    <w:rsid w:val="795700DA"/>
    <w:rsid w:val="79A664CD"/>
    <w:rsid w:val="79AB48C1"/>
    <w:rsid w:val="79C50293"/>
    <w:rsid w:val="7A102C24"/>
    <w:rsid w:val="7A5B7707"/>
    <w:rsid w:val="7A766991"/>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064C1"/>
    <w:rsid w:val="7BFF08E7"/>
    <w:rsid w:val="7C1B4A50"/>
    <w:rsid w:val="7C5C6754"/>
    <w:rsid w:val="7C9D3270"/>
    <w:rsid w:val="7CA9484D"/>
    <w:rsid w:val="7CB4324F"/>
    <w:rsid w:val="7CC429D9"/>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1359E"/>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2">
    <w:name w:val="Normal Indent"/>
    <w:basedOn w:val="1"/>
    <w:qFormat/>
    <w:uiPriority w:val="0"/>
    <w:pPr>
      <w:ind w:firstLine="420"/>
    </w:p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5365</Words>
  <Characters>30581</Characters>
  <Lines>254</Lines>
  <Paragraphs>71</Paragraphs>
  <TotalTime>3</TotalTime>
  <ScaleCrop>false</ScaleCrop>
  <LinksUpToDate>false</LinksUpToDate>
  <CharactersWithSpaces>35875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窗台1410343643</cp:lastModifiedBy>
  <cp:lastPrinted>2021-03-11T02:49:00Z</cp:lastPrinted>
  <dcterms:modified xsi:type="dcterms:W3CDTF">2021-05-21T06:46:36Z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SaveFontToCloudKey">
    <vt:lpwstr>0_btnclosed</vt:lpwstr>
  </property>
  <property fmtid="{D5CDD505-2E9C-101B-9397-08002B2CF9AE}" pid="4" name="ICV">
    <vt:lpwstr>93045857FCE845DE986E6A0D3D94A650</vt:lpwstr>
  </property>
</Properties>
</file>