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8"/>
        <w:ind w:firstLine="0"/>
        <w:jc w:val="center"/>
        <w:rPr>
          <w:rFonts w:cs="仿宋"/>
          <w:b/>
          <w:bCs/>
          <w:sz w:val="32"/>
          <w:szCs w:val="32"/>
          <w:highlight w:val="none"/>
        </w:rPr>
      </w:pPr>
      <w:r>
        <w:rPr>
          <w:rFonts w:hint="eastAsia" w:cs="仿宋"/>
          <w:b/>
          <w:bCs/>
          <w:sz w:val="32"/>
          <w:szCs w:val="32"/>
        </w:rPr>
        <w:t>S2-2-6米体村弃土场</w:t>
      </w:r>
      <w:r>
        <w:rPr>
          <w:rFonts w:hint="eastAsia" w:cs="仿宋"/>
          <w:b/>
          <w:bCs/>
          <w:sz w:val="32"/>
          <w:szCs w:val="32"/>
          <w:highlight w:val="none"/>
        </w:rPr>
        <w:t>挡墙劳务合作一览表</w:t>
      </w:r>
    </w:p>
    <w:tbl>
      <w:tblPr>
        <w:tblStyle w:val="6"/>
        <w:tblpPr w:leftFromText="180" w:rightFromText="180" w:vertAnchor="text" w:horzAnchor="page" w:tblpX="1128" w:tblpY="213"/>
        <w:tblOverlap w:val="never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1127"/>
        <w:gridCol w:w="1999"/>
        <w:gridCol w:w="4304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tblHeader/>
        </w:trPr>
        <w:tc>
          <w:tcPr>
            <w:tcW w:w="879" w:type="dxa"/>
            <w:tcBorders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11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分段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19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里程段落</w:t>
            </w:r>
          </w:p>
        </w:tc>
        <w:tc>
          <w:tcPr>
            <w:tcW w:w="43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主要工作内容</w:t>
            </w:r>
          </w:p>
        </w:tc>
        <w:tc>
          <w:tcPr>
            <w:tcW w:w="1388" w:type="dxa"/>
            <w:tcBorders>
              <w:left w:val="single" w:color="auto" w:sz="4" w:space="0"/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工期（月）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879" w:type="dxa"/>
            <w:tcBorders>
              <w:top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S2-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K117+680～K122+560</w:t>
            </w:r>
          </w:p>
        </w:tc>
        <w:tc>
          <w:tcPr>
            <w:tcW w:w="4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里程段落内弃土场挡墙工程，含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米体村1#弃土场挡土墙,长度405m;米体村2#弃土场挡土墙,长度360m。</w:t>
            </w:r>
          </w:p>
          <w:p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</w:tbl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  <w:r>
        <w:rPr>
          <w:rFonts w:cs="仿宋"/>
          <w:b/>
          <w:bCs/>
          <w:sz w:val="32"/>
          <w:szCs w:val="32"/>
        </w:rPr>
        <w:br w:type="page"/>
      </w:r>
    </w:p>
    <w:p>
      <w:pPr>
        <w:pStyle w:val="8"/>
        <w:ind w:firstLine="0"/>
        <w:rPr>
          <w:rFonts w:ascii="宋体" w:hAnsi="宋体" w:cs="宋体"/>
          <w:b/>
          <w:sz w:val="28"/>
          <w:szCs w:val="28"/>
        </w:rPr>
      </w:pPr>
      <w:bookmarkStart w:id="0" w:name="_Toc20280_WPSOffice_Level1"/>
      <w:bookmarkStart w:id="1" w:name="_Toc22287"/>
    </w:p>
    <w:p>
      <w:pPr>
        <w:pStyle w:val="8"/>
        <w:ind w:firstLine="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pStyle w:val="8"/>
        <w:ind w:firstLine="0"/>
        <w:jc w:val="center"/>
        <w:rPr>
          <w:rFonts w:cs="仿宋"/>
          <w:b/>
          <w:bCs/>
          <w:sz w:val="32"/>
          <w:szCs w:val="32"/>
          <w:highlight w:val="none"/>
        </w:rPr>
      </w:pPr>
      <w:r>
        <w:rPr>
          <w:rFonts w:cs="仿宋"/>
          <w:b/>
          <w:bCs/>
          <w:sz w:val="32"/>
          <w:szCs w:val="32"/>
          <w:highlight w:val="none"/>
        </w:rPr>
        <w:t>拟投入机械明细表（最低要求）</w:t>
      </w:r>
    </w:p>
    <w:tbl>
      <w:tblPr>
        <w:tblStyle w:val="6"/>
        <w:tblW w:w="941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1666"/>
        <w:gridCol w:w="1438"/>
        <w:gridCol w:w="1299"/>
        <w:gridCol w:w="1716"/>
        <w:gridCol w:w="1469"/>
        <w:gridCol w:w="1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12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3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基本要求</w:t>
            </w:r>
          </w:p>
        </w:tc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自有数量</w:t>
            </w:r>
          </w:p>
        </w:tc>
        <w:tc>
          <w:tcPr>
            <w:tcW w:w="12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  <w:t>挖掘机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spacing w:before="120" w:after="12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bidi="ar"/>
              </w:rPr>
              <w:t>2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  <w:t>50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台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Style w:val="10"/>
          <w:rFonts w:hint="default"/>
          <w:color w:val="auto"/>
          <w:sz w:val="24"/>
          <w:szCs w:val="24"/>
          <w:lang w:bidi="ar"/>
        </w:rPr>
      </w:pPr>
      <w:r>
        <w:rPr>
          <w:rFonts w:hint="eastAsia" w:ascii="宋体" w:hAnsi="宋体" w:cs="宋体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</w:p>
    <w:p>
      <w:pPr>
        <w:pStyle w:val="8"/>
        <w:ind w:firstLine="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附表三</w:t>
      </w:r>
    </w:p>
    <w:p>
      <w:pPr>
        <w:jc w:val="left"/>
        <w:rPr>
          <w:rStyle w:val="10"/>
          <w:rFonts w:hint="default"/>
          <w:color w:val="auto"/>
          <w:sz w:val="24"/>
          <w:szCs w:val="24"/>
          <w:lang w:bidi="ar"/>
        </w:rPr>
      </w:pPr>
    </w:p>
    <w:p>
      <w:pPr>
        <w:pStyle w:val="8"/>
        <w:ind w:firstLine="0"/>
        <w:jc w:val="center"/>
        <w:rPr>
          <w:rFonts w:cs="仿宋"/>
          <w:b/>
          <w:bCs/>
          <w:sz w:val="32"/>
          <w:szCs w:val="32"/>
          <w:highlight w:val="yellow"/>
        </w:rPr>
      </w:pPr>
      <w:r>
        <w:rPr>
          <w:rFonts w:cs="仿宋"/>
          <w:b/>
          <w:bCs/>
          <w:sz w:val="32"/>
          <w:szCs w:val="32"/>
          <w:highlight w:val="none"/>
        </w:rPr>
        <w:t>拟投入人员明细表（最低要求）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资格要求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牵头负责协作施工总体工作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协作项目负责人管理技术、质量相关工作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协作项目负责人管理安全、办公室相关工作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1、本表为主要人员的最低要求，投标人应根据施工需要或招标人的要求增加相关专业技术人员。 </w:t>
      </w:r>
    </w:p>
    <w:p>
      <w:pPr>
        <w:ind w:left="210" w:hanging="210" w:hangingChars="1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每人次课以50万元人民币违约金。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3、相关管理人员必须在岗，有特殊情况离岗必须向项目部请假并得到批准。</w:t>
      </w: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bookmarkEnd w:id="0"/>
    <w:bookmarkEnd w:id="1"/>
    <w:p/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20A97"/>
    <w:rsid w:val="5D92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Body Text"/>
    <w:basedOn w:val="1"/>
    <w:qFormat/>
    <w:uiPriority w:val="0"/>
    <w:pPr>
      <w:spacing w:after="120"/>
    </w:pPr>
    <w:rPr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9">
    <w:name w:val="图表文字"/>
    <w:next w:val="1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2021-05-25T08:35:00Z</dcterms:created>
  <dc:creator>大喵吃小鱼</dc:creator>
  <cp:lastModifiedBy>大喵吃小鱼</cp:lastModifiedBy>
  <dcterms:modified xsi:type="dcterms:W3CDTF">2021-05-25T08:35:47Z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29C3060BD30040E195F5A6FF572B325A</vt:lpwstr>
  </property>
</Properties>
</file>