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bookmarkStart w:id="0" w:name="_GoBack"/>
      <w:bookmarkEnd w:id="0"/>
      <w:r>
        <w:rPr>
          <w:rFonts w:hint="eastAsia" w:ascii="仿宋_GB2312" w:hAnsi="仿宋_GB2312" w:eastAsia="仿宋_GB2312" w:cs="仿宋_GB2312"/>
          <w:b/>
          <w:bCs w:val="0"/>
          <w:color w:val="auto"/>
          <w:sz w:val="28"/>
          <w:szCs w:val="28"/>
          <w:highlight w:val="none"/>
          <w:u w:val="none"/>
          <w:lang w:val="en-US" w:eastAsia="zh-CN"/>
        </w:rPr>
        <w:t>附表一</w:t>
      </w:r>
    </w:p>
    <w:p>
      <w:pPr>
        <w:pStyle w:val="2"/>
        <w:spacing w:line="360" w:lineRule="auto"/>
        <w:ind w:left="0" w:leftChars="0" w:firstLine="0" w:firstLineChars="0"/>
        <w:jc w:val="center"/>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渝蓉高速公路四川段沿线边坡病害处治工程协作项目</w:t>
      </w:r>
    </w:p>
    <w:p>
      <w:pPr>
        <w:pStyle w:val="2"/>
        <w:spacing w:line="360" w:lineRule="auto"/>
        <w:ind w:left="0" w:leftChars="0" w:firstLine="0" w:firstLineChars="0"/>
        <w:jc w:val="center"/>
        <w:rPr>
          <w:rFonts w:hint="eastAsia"/>
          <w:color w:val="auto"/>
          <w:highlight w:val="none"/>
          <w:lang w:val="en-US" w:eastAsia="zh-CN"/>
        </w:rPr>
      </w:pPr>
      <w:r>
        <w:rPr>
          <w:rFonts w:hint="eastAsia" w:ascii="宋体" w:hAnsi="宋体" w:eastAsia="宋体" w:cs="宋体"/>
          <w:b/>
          <w:bCs/>
          <w:color w:val="auto"/>
          <w:w w:val="100"/>
          <w:kern w:val="0"/>
          <w:sz w:val="28"/>
          <w:szCs w:val="28"/>
          <w:highlight w:val="none"/>
          <w:u w:val="none"/>
          <w:lang w:val="en-US" w:eastAsia="zh-CN" w:bidi="ar-SA"/>
        </w:rPr>
        <w:t>分段划分、工程规模、工期表</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sz w:val="24"/>
          <w:szCs w:val="24"/>
          <w:highlight w:val="none"/>
          <w:lang w:val="en-US" w:eastAsia="zh-CN"/>
        </w:rPr>
      </w:pPr>
    </w:p>
    <w:tbl>
      <w:tblPr>
        <w:tblStyle w:val="17"/>
        <w:tblpPr w:leftFromText="180" w:rightFromText="180" w:vertAnchor="text" w:horzAnchor="page" w:tblpX="2256" w:tblpY="122"/>
        <w:tblOverlap w:val="never"/>
        <w:tblW w:w="0" w:type="auto"/>
        <w:tblInd w:w="0" w:type="dxa"/>
        <w:tblLayout w:type="fixed"/>
        <w:tblCellMar>
          <w:top w:w="0" w:type="dxa"/>
          <w:left w:w="0" w:type="dxa"/>
          <w:bottom w:w="0" w:type="dxa"/>
          <w:right w:w="0" w:type="dxa"/>
        </w:tblCellMar>
      </w:tblPr>
      <w:tblGrid>
        <w:gridCol w:w="617"/>
        <w:gridCol w:w="953"/>
        <w:gridCol w:w="885"/>
        <w:gridCol w:w="2596"/>
        <w:gridCol w:w="1633"/>
        <w:gridCol w:w="1385"/>
      </w:tblGrid>
      <w:tr>
        <w:tblPrEx>
          <w:tblCellMar>
            <w:top w:w="0" w:type="dxa"/>
            <w:left w:w="0" w:type="dxa"/>
            <w:bottom w:w="0" w:type="dxa"/>
            <w:right w:w="0" w:type="dxa"/>
          </w:tblCellMar>
        </w:tblPrEx>
        <w:trPr>
          <w:trHeight w:val="1020" w:hRule="atLeast"/>
          <w:tblHeader/>
        </w:trPr>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序号</w:t>
            </w:r>
          </w:p>
        </w:tc>
        <w:tc>
          <w:tcPr>
            <w:tcW w:w="95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分段</w:t>
            </w:r>
          </w:p>
          <w:p>
            <w:pPr>
              <w:widowControl/>
              <w:tabs>
                <w:tab w:val="left" w:pos="416"/>
              </w:tabs>
              <w:jc w:val="center"/>
              <w:textAlignment w:val="center"/>
              <w:rPr>
                <w:rFonts w:hint="eastAsia" w:ascii="宋体" w:hAnsi="宋体" w:eastAsia="宋体" w:cs="宋体"/>
                <w:color w:val="auto"/>
                <w:kern w:val="0"/>
                <w:sz w:val="18"/>
                <w:szCs w:val="18"/>
                <w:highlight w:val="none"/>
                <w:lang w:eastAsia="zh-CN" w:bidi="ar"/>
              </w:rPr>
            </w:pPr>
            <w:r>
              <w:rPr>
                <w:rFonts w:hint="eastAsia" w:ascii="宋体" w:hAnsi="宋体" w:eastAsia="宋体" w:cs="宋体"/>
                <w:color w:val="auto"/>
                <w:kern w:val="0"/>
                <w:sz w:val="18"/>
                <w:szCs w:val="18"/>
                <w:highlight w:val="none"/>
                <w:lang w:eastAsia="zh-CN" w:bidi="ar"/>
              </w:rPr>
              <w:t>名称</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cs="宋体"/>
                <w:color w:val="auto"/>
                <w:kern w:val="0"/>
                <w:sz w:val="18"/>
                <w:szCs w:val="18"/>
                <w:highlight w:val="none"/>
                <w:lang w:val="en-US" w:eastAsia="zh-CN" w:bidi="ar"/>
              </w:rPr>
              <w:t>边坡（处）</w:t>
            </w:r>
          </w:p>
        </w:tc>
        <w:tc>
          <w:tcPr>
            <w:tcW w:w="2596"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主要</w:t>
            </w:r>
            <w:r>
              <w:rPr>
                <w:rFonts w:hint="eastAsia" w:ascii="宋体" w:hAnsi="宋体" w:eastAsia="宋体" w:cs="宋体"/>
                <w:color w:val="auto"/>
                <w:kern w:val="0"/>
                <w:sz w:val="18"/>
                <w:szCs w:val="18"/>
                <w:highlight w:val="none"/>
                <w:lang w:eastAsia="zh-CN" w:bidi="ar"/>
              </w:rPr>
              <w:t>工作内容</w:t>
            </w:r>
          </w:p>
          <w:p>
            <w:pPr>
              <w:widowControl/>
              <w:jc w:val="center"/>
              <w:textAlignment w:val="center"/>
              <w:rPr>
                <w:rFonts w:hint="eastAsia" w:ascii="宋体" w:hAnsi="宋体" w:eastAsia="宋体" w:cs="宋体"/>
                <w:color w:val="auto"/>
                <w:kern w:val="0"/>
                <w:sz w:val="18"/>
                <w:szCs w:val="18"/>
                <w:highlight w:val="none"/>
                <w:lang w:val="en-US" w:eastAsia="zh-CN" w:bidi="ar"/>
              </w:rPr>
            </w:pPr>
          </w:p>
        </w:tc>
        <w:tc>
          <w:tcPr>
            <w:tcW w:w="1633"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p>
        </w:tc>
        <w:tc>
          <w:tcPr>
            <w:tcW w:w="1385" w:type="dxa"/>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val="en-US" w:eastAsia="zh-CN" w:bidi="ar"/>
              </w:rPr>
              <w:t>备注</w:t>
            </w:r>
          </w:p>
        </w:tc>
      </w:tr>
      <w:tr>
        <w:tblPrEx>
          <w:tblCellMar>
            <w:top w:w="0" w:type="dxa"/>
            <w:left w:w="0" w:type="dxa"/>
            <w:bottom w:w="0" w:type="dxa"/>
            <w:right w:w="0" w:type="dxa"/>
          </w:tblCellMar>
        </w:tblPrEx>
        <w:trPr>
          <w:trHeight w:val="2385" w:hRule="atLeast"/>
        </w:trPr>
        <w:tc>
          <w:tcPr>
            <w:tcW w:w="6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lang w:bidi="ar"/>
              </w:rPr>
              <w:t>1</w:t>
            </w:r>
          </w:p>
        </w:tc>
        <w:tc>
          <w:tcPr>
            <w:tcW w:w="95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2021-CX-06</w:t>
            </w:r>
          </w:p>
        </w:tc>
        <w:tc>
          <w:tcPr>
            <w:tcW w:w="8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9</w:t>
            </w:r>
          </w:p>
        </w:tc>
        <w:tc>
          <w:tcPr>
            <w:tcW w:w="25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both"/>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受雨季影响较大的K127+300-K212+000段（重庆方向）边坡溜坡病害处治。包括锚杆框架梁、主动网+喷播植草、菱形骨架护坡、挂铁丝网喷播植草、挡土墙等的协作施工。</w:t>
            </w:r>
          </w:p>
        </w:tc>
        <w:tc>
          <w:tcPr>
            <w:tcW w:w="163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3</w:t>
            </w:r>
            <w:r>
              <w:rPr>
                <w:rFonts w:hint="eastAsia" w:ascii="宋体" w:hAnsi="宋体" w:eastAsia="宋体" w:cs="宋体"/>
                <w:color w:val="auto"/>
                <w:kern w:val="0"/>
                <w:sz w:val="18"/>
                <w:szCs w:val="18"/>
                <w:highlight w:val="none"/>
                <w:lang w:val="en-US" w:eastAsia="zh-CN" w:bidi="ar"/>
              </w:rPr>
              <w:t>个月</w:t>
            </w:r>
          </w:p>
        </w:tc>
        <w:tc>
          <w:tcPr>
            <w:tcW w:w="138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r>
    </w:tbl>
    <w:p>
      <w:pPr>
        <w:tabs>
          <w:tab w:val="left" w:pos="416"/>
        </w:tabs>
        <w:autoSpaceDE w:val="0"/>
        <w:autoSpaceDN w:val="0"/>
        <w:spacing w:before="122" w:line="360" w:lineRule="auto"/>
        <w:ind w:left="100"/>
        <w:rPr>
          <w:rFonts w:hint="eastAsia" w:ascii="宋体" w:hAnsi="宋体" w:cs="宋体"/>
          <w:b/>
          <w:color w:val="auto"/>
          <w:sz w:val="22"/>
          <w:szCs w:val="22"/>
          <w:highlight w:val="none"/>
        </w:rPr>
        <w:sectPr>
          <w:footerReference r:id="rId3" w:type="default"/>
          <w:pgSz w:w="11911" w:h="16838"/>
          <w:pgMar w:top="1440" w:right="1800" w:bottom="1440" w:left="1800" w:header="0" w:footer="567" w:gutter="0"/>
          <w:pgBorders>
            <w:top w:val="none" w:sz="0" w:space="0"/>
            <w:left w:val="none" w:sz="0" w:space="0"/>
            <w:bottom w:val="none" w:sz="0" w:space="0"/>
            <w:right w:val="none" w:sz="0" w:space="0"/>
          </w:pgBorders>
          <w:cols w:space="720" w:num="1"/>
          <w:docGrid w:linePitch="1" w:charSpace="0"/>
        </w:sectPr>
      </w:pPr>
    </w:p>
    <w:p>
      <w:pPr>
        <w:tabs>
          <w:tab w:val="left" w:pos="416"/>
        </w:tabs>
        <w:autoSpaceDE w:val="0"/>
        <w:autoSpaceDN w:val="0"/>
        <w:spacing w:before="122" w:line="360" w:lineRule="auto"/>
        <w:ind w:left="100"/>
        <w:rPr>
          <w:rFonts w:hint="eastAsia" w:ascii="宋体" w:hAnsi="宋体" w:eastAsia="宋体" w:cs="宋体"/>
          <w:b/>
          <w:color w:val="auto"/>
          <w:sz w:val="22"/>
          <w:szCs w:val="22"/>
          <w:highlight w:val="none"/>
          <w:lang w:val="en-US" w:eastAsia="zh-CN"/>
        </w:rPr>
      </w:pPr>
      <w:r>
        <w:rPr>
          <w:rFonts w:hint="eastAsia" w:ascii="宋体" w:hAnsi="宋体" w:cs="宋体"/>
          <w:b/>
          <w:color w:val="auto"/>
          <w:sz w:val="22"/>
          <w:szCs w:val="22"/>
          <w:highlight w:val="none"/>
        </w:rPr>
        <w:t>附表</w:t>
      </w:r>
      <w:r>
        <w:rPr>
          <w:rFonts w:hint="eastAsia" w:ascii="宋体" w:hAnsi="宋体" w:cs="宋体"/>
          <w:b/>
          <w:color w:val="auto"/>
          <w:sz w:val="22"/>
          <w:szCs w:val="22"/>
          <w:highlight w:val="none"/>
          <w:lang w:val="en-US" w:eastAsia="zh-CN"/>
        </w:rPr>
        <w:t>二</w:t>
      </w:r>
    </w:p>
    <w:p>
      <w:pPr>
        <w:pStyle w:val="2"/>
        <w:rPr>
          <w:rFonts w:hint="eastAsia"/>
        </w:rPr>
      </w:pPr>
    </w:p>
    <w:p>
      <w:pPr>
        <w:pStyle w:val="2"/>
        <w:spacing w:line="360" w:lineRule="auto"/>
        <w:ind w:left="0" w:leftChars="0" w:firstLine="0" w:firstLineChars="0"/>
        <w:jc w:val="center"/>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渝蓉高速公路四川段沿线边坡病害处治工程协作项目</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rPr>
        <w:t>设备要求表</w:t>
      </w:r>
    </w:p>
    <w:tbl>
      <w:tblPr>
        <w:tblStyle w:val="17"/>
        <w:tblW w:w="88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742"/>
        <w:gridCol w:w="808"/>
        <w:gridCol w:w="800"/>
        <w:gridCol w:w="900"/>
        <w:gridCol w:w="816"/>
        <w:gridCol w:w="850"/>
        <w:gridCol w:w="684"/>
        <w:gridCol w:w="767"/>
        <w:gridCol w:w="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742"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808" w:type="dxa"/>
            <w:vMerge w:val="restart"/>
            <w:tcBorders>
              <w:top w:val="single" w:color="000000" w:sz="4" w:space="0"/>
              <w:left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6"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850" w:type="dxa"/>
            <w:vMerge w:val="restart"/>
            <w:tcBorders>
              <w:top w:val="single" w:color="000000" w:sz="4" w:space="0"/>
              <w:left w:val="single" w:color="000000" w:sz="4" w:space="0"/>
              <w:right w:val="single" w:color="000000" w:sz="4" w:space="0"/>
              <w:tl2br w:val="nil"/>
              <w:tr2bl w:val="nil"/>
            </w:tcBorders>
            <w:noWrap w:val="0"/>
            <w:vAlign w:val="center"/>
          </w:tcPr>
          <w:p>
            <w:pPr>
              <w:kinsoku w:val="0"/>
              <w:overflowPunct w:val="0"/>
              <w:spacing w:beforeLines="0" w:afterLines="0" w:line="260" w:lineRule="exact"/>
              <w:ind w:right="0" w:rightChars="0"/>
              <w:jc w:val="center"/>
              <w:rPr>
                <w:rFonts w:hint="eastAsia" w:ascii="Times New Roman" w:hAnsi="Times New Roman" w:eastAsia="宋体" w:cs="宋体"/>
                <w:bCs w:val="0"/>
                <w:color w:val="auto"/>
                <w:kern w:val="2"/>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684"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right="0" w:rightChars="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7"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5" w:type="dxa"/>
            <w:vMerge w:val="restart"/>
            <w:tcBorders>
              <w:top w:val="single" w:color="000000" w:sz="4" w:space="0"/>
              <w:left w:val="single" w:color="000000" w:sz="4" w:space="0"/>
              <w:right w:val="single" w:color="000000" w:sz="4" w:space="0"/>
              <w:tl2br w:val="nil"/>
              <w:tr2bl w:val="nil"/>
            </w:tcBorders>
            <w:noWrap w:val="0"/>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1742"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808"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800" w:type="dxa"/>
            <w:vMerge w:val="continue"/>
            <w:tcBorders>
              <w:left w:val="single" w:color="000000" w:sz="4" w:space="0"/>
              <w:bottom w:val="single" w:color="000000" w:sz="4" w:space="0"/>
              <w:right w:val="single" w:color="000000" w:sz="4" w:space="0"/>
              <w:tl2br w:val="nil"/>
              <w:tr2bl w:val="nil"/>
            </w:tcBorders>
            <w:noWrap w:val="0"/>
            <w:vAlign w:val="center"/>
          </w:tcPr>
          <w:p>
            <w:pPr>
              <w:spacing w:line="440" w:lineRule="exact"/>
              <w:jc w:val="center"/>
              <w:rPr>
                <w:rFonts w:eastAsia="宋体"/>
                <w:color w:val="auto"/>
                <w:sz w:val="21"/>
                <w:szCs w:val="21"/>
                <w:highlight w:val="none"/>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6" w:type="dxa"/>
            <w:tcBorders>
              <w:left w:val="single" w:color="000000" w:sz="4" w:space="0"/>
              <w:bottom w:val="single" w:color="000000" w:sz="4" w:space="0"/>
              <w:right w:val="single" w:color="000000" w:sz="4" w:space="0"/>
              <w:tl2br w:val="nil"/>
              <w:tr2bl w:val="nil"/>
            </w:tcBorders>
            <w:noWrap w:val="0"/>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850"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684"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7"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5" w:type="dxa"/>
            <w:vMerge w:val="continue"/>
            <w:tcBorders>
              <w:left w:val="single" w:color="000000" w:sz="4" w:space="0"/>
              <w:bottom w:val="single" w:color="auto" w:sz="4" w:space="0"/>
              <w:right w:val="single" w:color="000000" w:sz="4" w:space="0"/>
              <w:tl2br w:val="nil"/>
              <w:tr2bl w:val="nil"/>
            </w:tcBorders>
            <w:noWrap w:val="0"/>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1</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钻孔</w:t>
            </w:r>
            <w:r>
              <w:rPr>
                <w:rFonts w:hint="eastAsia" w:ascii="宋体" w:hAnsi="宋体" w:eastAsia="宋体" w:cs="宋体"/>
                <w:i w:val="0"/>
                <w:color w:val="auto"/>
                <w:kern w:val="0"/>
                <w:sz w:val="18"/>
                <w:szCs w:val="18"/>
                <w:highlight w:val="none"/>
                <w:u w:val="none"/>
                <w:lang w:val="en-US" w:eastAsia="zh-CN" w:bidi="ar"/>
              </w:rPr>
              <w:t>机</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2</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szCs w:val="22"/>
                <w:highlight w:val="none"/>
                <w:u w:val="none"/>
                <w:lang w:val="en-US" w:eastAsia="zh-CN"/>
              </w:rPr>
            </w:pPr>
            <w:r>
              <w:rPr>
                <w:rFonts w:hint="eastAsia" w:ascii="宋体" w:hAnsi="宋体" w:cs="宋体"/>
                <w:color w:val="auto"/>
                <w:kern w:val="2"/>
                <w:sz w:val="18"/>
                <w:szCs w:val="18"/>
                <w:highlight w:val="none"/>
                <w:lang w:val="en-US" w:eastAsia="zh-CN" w:bidi="ar-SA"/>
              </w:rPr>
              <w:t>1</w:t>
            </w:r>
          </w:p>
        </w:tc>
        <w:tc>
          <w:tcPr>
            <w:tcW w:w="68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szCs w:val="22"/>
                <w:highlight w:val="none"/>
                <w:u w:val="none"/>
                <w:lang w:val="en-US" w:eastAsia="zh-CN"/>
              </w:rPr>
            </w:pPr>
            <w:r>
              <w:rPr>
                <w:rFonts w:hint="eastAsia" w:ascii="宋体" w:hAnsi="宋体" w:cs="宋体"/>
                <w:color w:val="auto"/>
                <w:kern w:val="2"/>
                <w:sz w:val="18"/>
                <w:szCs w:val="18"/>
                <w:highlight w:val="none"/>
                <w:lang w:val="en-US" w:eastAsia="zh-CN" w:bidi="ar-SA"/>
              </w:rPr>
              <w:t>1</w:t>
            </w:r>
          </w:p>
        </w:tc>
        <w:tc>
          <w:tcPr>
            <w:tcW w:w="767"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月后</w:t>
            </w:r>
          </w:p>
        </w:tc>
        <w:tc>
          <w:tcPr>
            <w:tcW w:w="855" w:type="dxa"/>
            <w:vMerge w:val="restart"/>
            <w:tcBorders>
              <w:top w:val="single" w:color="auto" w:sz="4" w:space="0"/>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2</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喷浆机</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cs="宋体"/>
                <w:color w:val="auto"/>
                <w:kern w:val="2"/>
                <w:sz w:val="18"/>
                <w:szCs w:val="18"/>
                <w:highlight w:val="none"/>
                <w:lang w:val="en-US" w:eastAsia="zh-CN" w:bidi="ar-SA"/>
              </w:rPr>
              <w:t>1</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u w:val="none"/>
                <w:lang w:val="en-US" w:eastAsia="zh-CN" w:bidi="ar-SA"/>
              </w:rPr>
            </w:pPr>
            <w:r>
              <w:rPr>
                <w:rFonts w:hint="eastAsia" w:ascii="宋体" w:hAnsi="宋体" w:cs="宋体"/>
                <w:color w:val="auto"/>
                <w:kern w:val="2"/>
                <w:sz w:val="18"/>
                <w:szCs w:val="18"/>
                <w:highlight w:val="none"/>
                <w:u w:val="none"/>
                <w:lang w:val="en-US" w:eastAsia="zh-CN" w:bidi="ar-SA"/>
              </w:rPr>
              <w:t>1</w:t>
            </w:r>
          </w:p>
        </w:tc>
        <w:tc>
          <w:tcPr>
            <w:tcW w:w="68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u w:val="none"/>
                <w:lang w:val="en-US" w:eastAsia="zh-CN" w:bidi="ar-SA"/>
              </w:rPr>
            </w:pPr>
            <w:r>
              <w:rPr>
                <w:rFonts w:hint="eastAsia" w:ascii="宋体" w:hAnsi="宋体" w:cs="宋体"/>
                <w:color w:val="auto"/>
                <w:kern w:val="2"/>
                <w:sz w:val="18"/>
                <w:szCs w:val="18"/>
                <w:highlight w:val="none"/>
                <w:u w:val="none"/>
                <w:lang w:val="en-US" w:eastAsia="zh-CN" w:bidi="ar-SA"/>
              </w:rPr>
              <w:t>1</w:t>
            </w: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both"/>
              <w:textAlignment w:val="center"/>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i w:val="0"/>
                <w:color w:val="auto"/>
                <w:kern w:val="0"/>
                <w:sz w:val="18"/>
                <w:szCs w:val="18"/>
                <w:highlight w:val="none"/>
                <w:u w:val="none"/>
                <w:lang w:val="en-US" w:eastAsia="zh-CN" w:bidi="ar"/>
              </w:rPr>
              <w:t xml:space="preserve">  3</w:t>
            </w: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tabs>
                <w:tab w:val="left" w:pos="493"/>
              </w:tabs>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泵车</w:t>
            </w: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w:t>
            </w: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台</w:t>
            </w: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1</w:t>
            </w: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u w:val="none"/>
                <w:lang w:val="en-US" w:eastAsia="zh-CN" w:bidi="ar-SA"/>
              </w:rPr>
            </w:pPr>
          </w:p>
        </w:tc>
        <w:tc>
          <w:tcPr>
            <w:tcW w:w="68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u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color w:val="auto"/>
                <w:kern w:val="2"/>
                <w:sz w:val="18"/>
                <w:szCs w:val="18"/>
                <w:highlight w:val="none"/>
                <w:lang w:val="en-US" w:eastAsia="zh-CN" w:bidi="ar-SA"/>
              </w:rPr>
            </w:pPr>
          </w:p>
        </w:tc>
        <w:tc>
          <w:tcPr>
            <w:tcW w:w="174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90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keepNext w:val="0"/>
              <w:keepLines w:val="0"/>
              <w:widowControl/>
              <w:suppressLineNumbers w:val="0"/>
              <w:jc w:val="center"/>
              <w:textAlignment w:val="center"/>
              <w:rPr>
                <w:rFonts w:hint="default" w:ascii="宋体" w:hAnsi="宋体" w:eastAsia="宋体" w:cs="宋体"/>
                <w:i w:val="0"/>
                <w:color w:val="auto"/>
                <w:kern w:val="0"/>
                <w:sz w:val="18"/>
                <w:szCs w:val="18"/>
                <w:highlight w:val="none"/>
                <w:u w:val="none"/>
                <w:lang w:val="en-US" w:eastAsia="zh-CN" w:bidi="ar"/>
              </w:rPr>
            </w:pPr>
          </w:p>
        </w:tc>
        <w:tc>
          <w:tcPr>
            <w:tcW w:w="816" w:type="dxa"/>
            <w:tcBorders>
              <w:top w:val="single" w:color="000000" w:sz="4" w:space="0"/>
              <w:left w:val="single" w:color="000000" w:sz="4" w:space="0"/>
              <w:bottom w:val="single" w:color="000000" w:sz="4" w:space="0"/>
              <w:right w:val="single" w:color="auto" w:sz="4" w:space="0"/>
              <w:tl2br w:val="nil"/>
              <w:tr2bl w:val="nil"/>
            </w:tcBorders>
            <w:noWrap w:val="0"/>
            <w:vAlign w:val="center"/>
          </w:tcPr>
          <w:p>
            <w:pPr>
              <w:jc w:val="center"/>
              <w:rPr>
                <w:rFonts w:hint="default" w:ascii="宋体" w:hAnsi="宋体" w:eastAsia="宋体" w:cs="宋体"/>
                <w:color w:val="auto"/>
                <w:kern w:val="2"/>
                <w:sz w:val="18"/>
                <w:szCs w:val="18"/>
                <w:highlight w:val="none"/>
                <w:lang w:val="en-US" w:eastAsia="zh-CN" w:bidi="ar-SA"/>
              </w:rPr>
            </w:pPr>
          </w:p>
        </w:tc>
        <w:tc>
          <w:tcPr>
            <w:tcW w:w="850"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68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767"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5" w:type="dxa"/>
            <w:vMerge w:val="continue"/>
            <w:tcBorders>
              <w:left w:val="single" w:color="auto" w:sz="4" w:space="0"/>
              <w:right w:val="single" w:color="auto" w:sz="4" w:space="0"/>
              <w:tl2br w:val="nil"/>
              <w:tr2bl w:val="nil"/>
            </w:tcBorders>
            <w:noWrap w:val="0"/>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rPr>
          <w:rStyle w:val="24"/>
          <w:rFonts w:hint="eastAsia"/>
          <w:b w:val="0"/>
          <w:bCs/>
          <w:color w:val="auto"/>
          <w:sz w:val="18"/>
          <w:szCs w:val="18"/>
          <w:highlight w:val="none"/>
          <w:u w:val="none"/>
          <w:lang w:val="en-US" w:eastAsia="zh-CN" w:bidi="ar"/>
        </w:rPr>
      </w:pPr>
      <w:r>
        <w:rPr>
          <w:rStyle w:val="24"/>
          <w:rFonts w:hint="eastAsia"/>
          <w:b w:val="0"/>
          <w:bCs/>
          <w:color w:val="auto"/>
          <w:sz w:val="18"/>
          <w:szCs w:val="18"/>
          <w:highlight w:val="none"/>
          <w:u w:val="none"/>
          <w:lang w:val="en-US" w:eastAsia="zh-CN" w:bidi="ar"/>
        </w:rPr>
        <w:t>注：1、若监理工程师或招标人认为投标人配备的机械设备不能满足现场施工的需要，或不能保证工程质量和进度时，招标人有权要求投标人增加。</w:t>
      </w:r>
    </w:p>
    <w:p>
      <w:pPr>
        <w:numPr>
          <w:ilvl w:val="0"/>
          <w:numId w:val="1"/>
        </w:numPr>
        <w:tabs>
          <w:tab w:val="left" w:pos="416"/>
        </w:tabs>
        <w:autoSpaceDE w:val="0"/>
        <w:autoSpaceDN w:val="0"/>
        <w:spacing w:before="122" w:line="360" w:lineRule="auto"/>
        <w:ind w:left="100"/>
        <w:rPr>
          <w:rStyle w:val="24"/>
          <w:rFonts w:hint="eastAsia"/>
          <w:b w:val="0"/>
          <w:bCs/>
          <w:color w:val="auto"/>
          <w:sz w:val="18"/>
          <w:szCs w:val="18"/>
          <w:highlight w:val="none"/>
          <w:u w:val="none"/>
          <w:lang w:val="en-US" w:eastAsia="zh-CN" w:bidi="ar"/>
        </w:rPr>
      </w:pPr>
      <w:r>
        <w:rPr>
          <w:rStyle w:val="24"/>
          <w:rFonts w:hint="eastAsia"/>
          <w:b w:val="0"/>
          <w:bCs/>
          <w:color w:val="auto"/>
          <w:sz w:val="18"/>
          <w:szCs w:val="18"/>
          <w:highlight w:val="none"/>
          <w:u w:val="none"/>
          <w:lang w:val="en-US" w:eastAsia="zh-CN" w:bidi="ar"/>
        </w:rPr>
        <w:t>本表中的总数量为乙方中标后向甲方承诺的投入最低设备要求。</w:t>
      </w: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numPr>
          <w:ilvl w:val="0"/>
          <w:numId w:val="0"/>
        </w:numPr>
        <w:tabs>
          <w:tab w:val="left" w:pos="416"/>
        </w:tabs>
        <w:autoSpaceDE w:val="0"/>
        <w:autoSpaceDN w:val="0"/>
        <w:spacing w:before="122" w:line="360" w:lineRule="auto"/>
        <w:rPr>
          <w:rFonts w:hint="eastAsia" w:ascii="宋体" w:hAnsi="宋体" w:cs="宋体"/>
          <w:b/>
          <w:color w:val="auto"/>
          <w:sz w:val="22"/>
          <w:szCs w:val="22"/>
          <w:highlight w:val="none"/>
        </w:rPr>
      </w:pPr>
    </w:p>
    <w:p>
      <w:pPr>
        <w:rPr>
          <w:rStyle w:val="24"/>
          <w:rFonts w:hint="eastAsia"/>
          <w:b/>
          <w:bCs/>
          <w:color w:val="auto"/>
          <w:sz w:val="22"/>
          <w:szCs w:val="22"/>
          <w:highlight w:val="none"/>
          <w:u w:val="none"/>
          <w:lang w:val="en-US" w:eastAsia="zh-CN" w:bidi="ar"/>
        </w:rPr>
      </w:pPr>
      <w:r>
        <w:rPr>
          <w:rStyle w:val="24"/>
          <w:rFonts w:hint="eastAsia"/>
          <w:b/>
          <w:bCs/>
          <w:color w:val="auto"/>
          <w:sz w:val="22"/>
          <w:szCs w:val="22"/>
          <w:highlight w:val="none"/>
          <w:u w:val="none"/>
          <w:lang w:val="en-US" w:eastAsia="zh-CN" w:bidi="ar"/>
        </w:rPr>
        <w:br w:type="page"/>
      </w:r>
    </w:p>
    <w:p>
      <w:pPr>
        <w:jc w:val="left"/>
        <w:rPr>
          <w:rStyle w:val="24"/>
          <w:rFonts w:hint="default"/>
          <w:b/>
          <w:bCs/>
          <w:color w:val="auto"/>
          <w:sz w:val="22"/>
          <w:szCs w:val="22"/>
          <w:highlight w:val="none"/>
          <w:u w:val="none"/>
          <w:lang w:val="en-US" w:eastAsia="zh-CN" w:bidi="ar"/>
        </w:rPr>
      </w:pPr>
      <w:r>
        <w:rPr>
          <w:rStyle w:val="24"/>
          <w:rFonts w:hint="eastAsia"/>
          <w:b/>
          <w:bCs/>
          <w:color w:val="auto"/>
          <w:sz w:val="22"/>
          <w:szCs w:val="22"/>
          <w:highlight w:val="none"/>
          <w:u w:val="none"/>
          <w:lang w:val="en-US" w:eastAsia="zh-CN" w:bidi="ar"/>
        </w:rPr>
        <w:t>附表三</w:t>
      </w:r>
    </w:p>
    <w:p>
      <w:pPr>
        <w:pStyle w:val="2"/>
        <w:rPr>
          <w:rFonts w:hint="eastAsia"/>
          <w:lang w:val="en-US" w:eastAsia="zh-CN"/>
        </w:rPr>
      </w:pPr>
    </w:p>
    <w:tbl>
      <w:tblPr>
        <w:tblStyle w:val="17"/>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bCs/>
                <w:color w:val="auto"/>
                <w:w w:val="100"/>
                <w:kern w:val="0"/>
                <w:sz w:val="28"/>
                <w:szCs w:val="28"/>
                <w:highlight w:val="none"/>
                <w:u w:val="none"/>
                <w:lang w:val="en-US" w:eastAsia="zh-CN" w:bidi="ar-SA"/>
              </w:rPr>
            </w:pPr>
            <w:r>
              <w:rPr>
                <w:rFonts w:hint="eastAsia" w:ascii="宋体" w:hAnsi="宋体" w:eastAsia="宋体" w:cs="宋体"/>
                <w:b/>
                <w:bCs/>
                <w:color w:val="auto"/>
                <w:w w:val="100"/>
                <w:kern w:val="0"/>
                <w:sz w:val="28"/>
                <w:szCs w:val="28"/>
                <w:highlight w:val="none"/>
                <w:u w:val="none"/>
                <w:lang w:val="en-US" w:eastAsia="zh-CN" w:bidi="ar-SA"/>
              </w:rPr>
              <w:t>渝蓉高速公路四川段沿线边坡病害处治工程</w:t>
            </w:r>
            <w:r>
              <w:rPr>
                <w:rFonts w:hint="eastAsia" w:ascii="宋体" w:hAnsi="宋体" w:cs="宋体"/>
                <w:b/>
                <w:bCs/>
                <w:color w:val="auto"/>
                <w:w w:val="100"/>
                <w:kern w:val="0"/>
                <w:sz w:val="28"/>
                <w:szCs w:val="28"/>
                <w:highlight w:val="none"/>
                <w:u w:val="none"/>
                <w:lang w:val="en-US" w:eastAsia="zh-CN" w:bidi="ar-SA"/>
              </w:rPr>
              <w:t>协作</w:t>
            </w:r>
            <w:r>
              <w:rPr>
                <w:rFonts w:hint="eastAsia" w:ascii="宋体" w:hAnsi="宋体" w:eastAsia="宋体" w:cs="宋体"/>
                <w:b/>
                <w:bCs/>
                <w:color w:val="auto"/>
                <w:w w:val="100"/>
                <w:kern w:val="0"/>
                <w:sz w:val="28"/>
                <w:szCs w:val="28"/>
                <w:highlight w:val="none"/>
                <w:u w:val="none"/>
                <w:lang w:val="en-US" w:eastAsia="zh-CN" w:bidi="ar-SA"/>
              </w:rPr>
              <w:t>项目</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宋体" w:hAnsi="宋体" w:eastAsia="宋体" w:cs="宋体"/>
                <w:b/>
                <w:bCs/>
                <w:color w:val="auto"/>
                <w:w w:val="100"/>
                <w:kern w:val="0"/>
                <w:sz w:val="28"/>
                <w:szCs w:val="28"/>
                <w:highlight w:val="none"/>
                <w:u w:val="none"/>
                <w:lang w:val="en-US" w:eastAsia="zh-CN" w:bidi="ar-SA"/>
              </w:rPr>
              <w:t>人员要求表(最低要求）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2</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项目技术负责人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项目负责人管理技术、质量相关工作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4</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工程技术人员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负责现场测量、放线、施工管理、记录表</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2</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59"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5</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内业人员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内业资料及相关工作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2、如因投标人的原因(除不可抗拒因素外)更换上述主要人员，须报请招标人批准，更换人员的资质不能低于招标文件要求，自行更换主要负责人的，对投标人按每人次扣以50万元人民币违约金。</w:t>
            </w:r>
            <w:r>
              <w:rPr>
                <w:rFonts w:hint="eastAsia" w:ascii="宋体" w:hAnsi="宋体" w:eastAsia="宋体" w:cs="宋体"/>
                <w:color w:val="auto"/>
                <w:kern w:val="0"/>
                <w:sz w:val="18"/>
                <w:szCs w:val="18"/>
                <w:highlight w:val="none"/>
                <w:lang w:val="en-US" w:eastAsia="zh-CN" w:bidi="ar-SA"/>
              </w:rPr>
              <w:br w:type="textWrapping"/>
            </w: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pStyle w:val="22"/>
        <w:tabs>
          <w:tab w:val="right" w:leader="dot" w:pos="8306"/>
        </w:tabs>
        <w:jc w:val="both"/>
        <w:rPr>
          <w:rFonts w:ascii="等线" w:hAnsi="等线" w:eastAsia="等线" w:cs="等线"/>
          <w:b/>
          <w:bCs/>
          <w:color w:val="auto"/>
          <w:sz w:val="44"/>
          <w:szCs w:val="44"/>
          <w:highlight w:val="none"/>
          <w:lang w:bidi="zh-CN"/>
        </w:rPr>
      </w:pPr>
    </w:p>
    <w:p>
      <w:pPr>
        <w:pStyle w:val="22"/>
        <w:tabs>
          <w:tab w:val="right" w:leader="dot" w:pos="8306"/>
        </w:tabs>
        <w:jc w:val="both"/>
        <w:rPr>
          <w:rFonts w:ascii="等线" w:hAnsi="等线" w:eastAsia="等线" w:cs="等线"/>
          <w:b/>
          <w:bCs/>
          <w:color w:val="auto"/>
          <w:sz w:val="44"/>
          <w:szCs w:val="44"/>
          <w:highlight w:val="none"/>
          <w:lang w:bidi="zh-CN"/>
        </w:rPr>
      </w:pPr>
    </w:p>
    <w:p>
      <w:pPr>
        <w:jc w:val="left"/>
        <w:rPr>
          <w:rStyle w:val="24"/>
          <w:rFonts w:hint="eastAsia"/>
          <w:b w:val="0"/>
          <w:bCs/>
          <w:color w:val="auto"/>
          <w:sz w:val="16"/>
          <w:szCs w:val="16"/>
          <w:highlight w:val="none"/>
          <w:u w:val="none"/>
          <w:lang w:val="en-US" w:eastAsia="zh-CN" w:bidi="ar"/>
        </w:rPr>
      </w:pPr>
    </w:p>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spacing w:line="14" w:lineRule="auto"/>
      <w:rPr>
        <w:rFonts w:ascii="宋体" w:hAnsi="宋体" w:cs="宋体"/>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2023403"/>
      <w:docPartObj>
        <w:docPartGallery w:val="autotext"/>
      </w:docPartObj>
    </w:sdtPr>
    <w:sdtContent>
      <w:p>
        <w:pPr>
          <w:pStyle w:val="13"/>
          <w:jc w:val="center"/>
        </w:pPr>
        <w:r>
          <w:fldChar w:fldCharType="begin"/>
        </w:r>
        <w:r>
          <w:instrText xml:space="preserve">PAGE   \* MERGEFORMAT</w:instrText>
        </w:r>
        <w:r>
          <w:fldChar w:fldCharType="separate"/>
        </w:r>
        <w:r>
          <w:rPr>
            <w:lang w:val="zh-CN"/>
          </w:rPr>
          <w:t>2</w:t>
        </w:r>
        <w:r>
          <w:fldChar w:fldCharType="end"/>
        </w:r>
      </w:p>
    </w:sdtContent>
  </w:sdt>
  <w:p>
    <w:pPr>
      <w:spacing w:line="14" w:lineRule="auto"/>
      <w:rPr>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FE8A8D"/>
    <w:multiLevelType w:val="singleLevel"/>
    <w:tmpl w:val="B0FE8A8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83040B"/>
    <w:rsid w:val="00196CB7"/>
    <w:rsid w:val="00343D48"/>
    <w:rsid w:val="009B12C4"/>
    <w:rsid w:val="014A3A9D"/>
    <w:rsid w:val="01E81141"/>
    <w:rsid w:val="01F62437"/>
    <w:rsid w:val="029F0BDF"/>
    <w:rsid w:val="02F36BB9"/>
    <w:rsid w:val="03724511"/>
    <w:rsid w:val="039A66B9"/>
    <w:rsid w:val="044153DC"/>
    <w:rsid w:val="050B0EC8"/>
    <w:rsid w:val="05BC6E66"/>
    <w:rsid w:val="06972D26"/>
    <w:rsid w:val="072409DB"/>
    <w:rsid w:val="07F660B0"/>
    <w:rsid w:val="08324929"/>
    <w:rsid w:val="08891F7D"/>
    <w:rsid w:val="08E30999"/>
    <w:rsid w:val="0913688A"/>
    <w:rsid w:val="09455B44"/>
    <w:rsid w:val="09AD4AA6"/>
    <w:rsid w:val="0A5033EA"/>
    <w:rsid w:val="0A5A4B79"/>
    <w:rsid w:val="0A601AF4"/>
    <w:rsid w:val="0B0F28A9"/>
    <w:rsid w:val="0B5455A6"/>
    <w:rsid w:val="0B753032"/>
    <w:rsid w:val="0B891FE2"/>
    <w:rsid w:val="0B8F467A"/>
    <w:rsid w:val="0B991271"/>
    <w:rsid w:val="0BA924DA"/>
    <w:rsid w:val="0BD27243"/>
    <w:rsid w:val="0C435020"/>
    <w:rsid w:val="0C4E22E9"/>
    <w:rsid w:val="0CCF7D76"/>
    <w:rsid w:val="0CE5356C"/>
    <w:rsid w:val="0E2F2B48"/>
    <w:rsid w:val="0E7D493C"/>
    <w:rsid w:val="0F581439"/>
    <w:rsid w:val="0F6860EC"/>
    <w:rsid w:val="0F9F7060"/>
    <w:rsid w:val="0FCE6B99"/>
    <w:rsid w:val="100474B1"/>
    <w:rsid w:val="10144394"/>
    <w:rsid w:val="104E4D2B"/>
    <w:rsid w:val="109E5293"/>
    <w:rsid w:val="11D90063"/>
    <w:rsid w:val="12ED1315"/>
    <w:rsid w:val="12F60699"/>
    <w:rsid w:val="14C648B0"/>
    <w:rsid w:val="156B72DC"/>
    <w:rsid w:val="15A33A75"/>
    <w:rsid w:val="15A80B94"/>
    <w:rsid w:val="15CF4B09"/>
    <w:rsid w:val="15D45FBF"/>
    <w:rsid w:val="16370C2C"/>
    <w:rsid w:val="17067C76"/>
    <w:rsid w:val="18C95BFE"/>
    <w:rsid w:val="19501FCD"/>
    <w:rsid w:val="195A0C14"/>
    <w:rsid w:val="19BC7BD0"/>
    <w:rsid w:val="1A5C76BA"/>
    <w:rsid w:val="1ADC068B"/>
    <w:rsid w:val="1B7342A9"/>
    <w:rsid w:val="1BA112B9"/>
    <w:rsid w:val="1CCB016B"/>
    <w:rsid w:val="1DF37DFA"/>
    <w:rsid w:val="1E9B719D"/>
    <w:rsid w:val="1F291F3C"/>
    <w:rsid w:val="1F3A4319"/>
    <w:rsid w:val="1F6B4BFB"/>
    <w:rsid w:val="1F9306F4"/>
    <w:rsid w:val="20602D80"/>
    <w:rsid w:val="20A17C13"/>
    <w:rsid w:val="20C53399"/>
    <w:rsid w:val="21553091"/>
    <w:rsid w:val="21BE14DE"/>
    <w:rsid w:val="21C97396"/>
    <w:rsid w:val="223D66AF"/>
    <w:rsid w:val="22900340"/>
    <w:rsid w:val="236E2906"/>
    <w:rsid w:val="236F25C3"/>
    <w:rsid w:val="23A167F7"/>
    <w:rsid w:val="23AA10B0"/>
    <w:rsid w:val="241D5966"/>
    <w:rsid w:val="24BB1332"/>
    <w:rsid w:val="24F94B95"/>
    <w:rsid w:val="25073037"/>
    <w:rsid w:val="25D17528"/>
    <w:rsid w:val="25FF4FDC"/>
    <w:rsid w:val="26105A24"/>
    <w:rsid w:val="26CC3F25"/>
    <w:rsid w:val="27C8356C"/>
    <w:rsid w:val="289F5324"/>
    <w:rsid w:val="291551B7"/>
    <w:rsid w:val="2A195ECB"/>
    <w:rsid w:val="2B8C545E"/>
    <w:rsid w:val="2C3201A6"/>
    <w:rsid w:val="2C824972"/>
    <w:rsid w:val="2CE01537"/>
    <w:rsid w:val="2D947467"/>
    <w:rsid w:val="2E331B97"/>
    <w:rsid w:val="2E740628"/>
    <w:rsid w:val="2E837660"/>
    <w:rsid w:val="2E9D083E"/>
    <w:rsid w:val="2EAA77DA"/>
    <w:rsid w:val="2EB26D35"/>
    <w:rsid w:val="2EBC3BCD"/>
    <w:rsid w:val="2EDA06D1"/>
    <w:rsid w:val="2EE66DA1"/>
    <w:rsid w:val="30075453"/>
    <w:rsid w:val="30976160"/>
    <w:rsid w:val="30CE2A07"/>
    <w:rsid w:val="31B6771F"/>
    <w:rsid w:val="31F27638"/>
    <w:rsid w:val="325C03ED"/>
    <w:rsid w:val="32741064"/>
    <w:rsid w:val="32DB03AE"/>
    <w:rsid w:val="33545079"/>
    <w:rsid w:val="337A48FA"/>
    <w:rsid w:val="339A2073"/>
    <w:rsid w:val="342A5F28"/>
    <w:rsid w:val="34311BB5"/>
    <w:rsid w:val="34436B87"/>
    <w:rsid w:val="34607A3F"/>
    <w:rsid w:val="348B44F6"/>
    <w:rsid w:val="34F61D79"/>
    <w:rsid w:val="35553321"/>
    <w:rsid w:val="35921A02"/>
    <w:rsid w:val="35A63EE7"/>
    <w:rsid w:val="36452C44"/>
    <w:rsid w:val="37D5352F"/>
    <w:rsid w:val="38E25BE4"/>
    <w:rsid w:val="393D02C4"/>
    <w:rsid w:val="395C1C4A"/>
    <w:rsid w:val="3A180D3E"/>
    <w:rsid w:val="3A8E7911"/>
    <w:rsid w:val="3B7F1D6B"/>
    <w:rsid w:val="3BF45A48"/>
    <w:rsid w:val="3C4E25B5"/>
    <w:rsid w:val="3C5C5D88"/>
    <w:rsid w:val="3CA06F6B"/>
    <w:rsid w:val="3DD05FB6"/>
    <w:rsid w:val="3E1C2E52"/>
    <w:rsid w:val="3E320AB0"/>
    <w:rsid w:val="3E36438D"/>
    <w:rsid w:val="3E5D5FDF"/>
    <w:rsid w:val="3E972502"/>
    <w:rsid w:val="3F026478"/>
    <w:rsid w:val="401B4839"/>
    <w:rsid w:val="405D5CCE"/>
    <w:rsid w:val="40834CCE"/>
    <w:rsid w:val="415D7AEB"/>
    <w:rsid w:val="416309A2"/>
    <w:rsid w:val="4205452B"/>
    <w:rsid w:val="422873DB"/>
    <w:rsid w:val="4304594A"/>
    <w:rsid w:val="43C05F1E"/>
    <w:rsid w:val="43FE1B06"/>
    <w:rsid w:val="44C71CED"/>
    <w:rsid w:val="459C0B02"/>
    <w:rsid w:val="45E511AF"/>
    <w:rsid w:val="46113505"/>
    <w:rsid w:val="465D008B"/>
    <w:rsid w:val="46C81B47"/>
    <w:rsid w:val="46F456A7"/>
    <w:rsid w:val="46F5464E"/>
    <w:rsid w:val="46FF3BA9"/>
    <w:rsid w:val="47433D54"/>
    <w:rsid w:val="47CA7CD2"/>
    <w:rsid w:val="47FB114A"/>
    <w:rsid w:val="489E6509"/>
    <w:rsid w:val="49E51AEA"/>
    <w:rsid w:val="49F95EBE"/>
    <w:rsid w:val="4A343EBA"/>
    <w:rsid w:val="4A462E88"/>
    <w:rsid w:val="4A844544"/>
    <w:rsid w:val="4ADE3AC3"/>
    <w:rsid w:val="4B7B703E"/>
    <w:rsid w:val="4BAD7629"/>
    <w:rsid w:val="4C3D794C"/>
    <w:rsid w:val="4D285129"/>
    <w:rsid w:val="4D366E35"/>
    <w:rsid w:val="4DB12F74"/>
    <w:rsid w:val="4E133190"/>
    <w:rsid w:val="4E5B27FF"/>
    <w:rsid w:val="4ECA7F19"/>
    <w:rsid w:val="4F40027A"/>
    <w:rsid w:val="4FDA01BE"/>
    <w:rsid w:val="50E45A49"/>
    <w:rsid w:val="50FA206F"/>
    <w:rsid w:val="516D409C"/>
    <w:rsid w:val="5175120E"/>
    <w:rsid w:val="51916A7A"/>
    <w:rsid w:val="51F72BF9"/>
    <w:rsid w:val="521E0D27"/>
    <w:rsid w:val="52637D61"/>
    <w:rsid w:val="52E31AA5"/>
    <w:rsid w:val="53DF10F7"/>
    <w:rsid w:val="54427B77"/>
    <w:rsid w:val="54A7540F"/>
    <w:rsid w:val="54D47567"/>
    <w:rsid w:val="54D85A67"/>
    <w:rsid w:val="557E7D89"/>
    <w:rsid w:val="557F74C3"/>
    <w:rsid w:val="55F821DF"/>
    <w:rsid w:val="56D436DF"/>
    <w:rsid w:val="56E2375B"/>
    <w:rsid w:val="57365758"/>
    <w:rsid w:val="573A64ED"/>
    <w:rsid w:val="57B11C8D"/>
    <w:rsid w:val="58F93E01"/>
    <w:rsid w:val="590D63E7"/>
    <w:rsid w:val="590F09AC"/>
    <w:rsid w:val="59816A82"/>
    <w:rsid w:val="5A131428"/>
    <w:rsid w:val="5A971F2E"/>
    <w:rsid w:val="5AAA35BF"/>
    <w:rsid w:val="5ABE45A5"/>
    <w:rsid w:val="5AF47196"/>
    <w:rsid w:val="5B83040B"/>
    <w:rsid w:val="5BB800C6"/>
    <w:rsid w:val="5C293FEF"/>
    <w:rsid w:val="5C577DF2"/>
    <w:rsid w:val="5CAC5023"/>
    <w:rsid w:val="5CD07BF9"/>
    <w:rsid w:val="5D2C7E85"/>
    <w:rsid w:val="5DD5795B"/>
    <w:rsid w:val="5E0B4087"/>
    <w:rsid w:val="5E8D0E00"/>
    <w:rsid w:val="5FBF192C"/>
    <w:rsid w:val="5FD230CB"/>
    <w:rsid w:val="60901A89"/>
    <w:rsid w:val="609D42E0"/>
    <w:rsid w:val="60C85161"/>
    <w:rsid w:val="61D230CA"/>
    <w:rsid w:val="622904E0"/>
    <w:rsid w:val="62492337"/>
    <w:rsid w:val="626E0FDE"/>
    <w:rsid w:val="62F138FF"/>
    <w:rsid w:val="632633EF"/>
    <w:rsid w:val="633B553C"/>
    <w:rsid w:val="63452A49"/>
    <w:rsid w:val="6355667B"/>
    <w:rsid w:val="63AD6DFA"/>
    <w:rsid w:val="640356F9"/>
    <w:rsid w:val="64247493"/>
    <w:rsid w:val="6470224E"/>
    <w:rsid w:val="64DB7FF2"/>
    <w:rsid w:val="65193E6D"/>
    <w:rsid w:val="652074A8"/>
    <w:rsid w:val="657A7C68"/>
    <w:rsid w:val="65C238A4"/>
    <w:rsid w:val="65F03ED9"/>
    <w:rsid w:val="666939E4"/>
    <w:rsid w:val="66814499"/>
    <w:rsid w:val="66C15E68"/>
    <w:rsid w:val="66FF0490"/>
    <w:rsid w:val="670E41DA"/>
    <w:rsid w:val="6715699B"/>
    <w:rsid w:val="67181E00"/>
    <w:rsid w:val="672F5588"/>
    <w:rsid w:val="67C25A43"/>
    <w:rsid w:val="67FB11C8"/>
    <w:rsid w:val="68501E37"/>
    <w:rsid w:val="697D0D08"/>
    <w:rsid w:val="697F0B59"/>
    <w:rsid w:val="69845157"/>
    <w:rsid w:val="699830D3"/>
    <w:rsid w:val="69C72B32"/>
    <w:rsid w:val="69F0105B"/>
    <w:rsid w:val="6A256381"/>
    <w:rsid w:val="6AAE40FB"/>
    <w:rsid w:val="6B6B072C"/>
    <w:rsid w:val="6BC60CDD"/>
    <w:rsid w:val="6BFA5ECE"/>
    <w:rsid w:val="6C71494C"/>
    <w:rsid w:val="6CAF4FEF"/>
    <w:rsid w:val="6CF12BBF"/>
    <w:rsid w:val="6D6324FB"/>
    <w:rsid w:val="6DCC1519"/>
    <w:rsid w:val="6E5E60C9"/>
    <w:rsid w:val="6F1F0010"/>
    <w:rsid w:val="6F7E5E46"/>
    <w:rsid w:val="6FEE18C9"/>
    <w:rsid w:val="701A23EA"/>
    <w:rsid w:val="71030839"/>
    <w:rsid w:val="7156685C"/>
    <w:rsid w:val="71870602"/>
    <w:rsid w:val="71C179F2"/>
    <w:rsid w:val="71FE4C17"/>
    <w:rsid w:val="726B38D2"/>
    <w:rsid w:val="72705681"/>
    <w:rsid w:val="72E22B87"/>
    <w:rsid w:val="73012309"/>
    <w:rsid w:val="73B9714D"/>
    <w:rsid w:val="74291F81"/>
    <w:rsid w:val="743D65AD"/>
    <w:rsid w:val="7441776B"/>
    <w:rsid w:val="748A24B9"/>
    <w:rsid w:val="748E6270"/>
    <w:rsid w:val="74AF78D9"/>
    <w:rsid w:val="75443094"/>
    <w:rsid w:val="75E54481"/>
    <w:rsid w:val="75FA05EA"/>
    <w:rsid w:val="76F9201E"/>
    <w:rsid w:val="77387271"/>
    <w:rsid w:val="778618BA"/>
    <w:rsid w:val="77A64A70"/>
    <w:rsid w:val="77BF6592"/>
    <w:rsid w:val="7A5658A3"/>
    <w:rsid w:val="7AAF3B2F"/>
    <w:rsid w:val="7AB9364B"/>
    <w:rsid w:val="7BD859F4"/>
    <w:rsid w:val="7C3D0CC6"/>
    <w:rsid w:val="7C504B7D"/>
    <w:rsid w:val="7C933E96"/>
    <w:rsid w:val="7CF73115"/>
    <w:rsid w:val="7CF855C3"/>
    <w:rsid w:val="7D34255F"/>
    <w:rsid w:val="7E4A4344"/>
    <w:rsid w:val="7EB05EDC"/>
    <w:rsid w:val="7ED67EF7"/>
    <w:rsid w:val="7EE27AD3"/>
    <w:rsid w:val="7FD03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1" w:semiHidden="0" w:name="heading 6"/>
    <w:lsdException w:qFormat="1" w:unhideWhenUsed="0" w:uiPriority="1" w:semiHidden="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qFormat/>
    <w:uiPriority w:val="0"/>
    <w:pPr>
      <w:keepNext/>
      <w:keepLines/>
      <w:spacing w:before="260" w:after="260" w:line="413" w:lineRule="auto"/>
      <w:outlineLvl w:val="2"/>
    </w:pPr>
    <w:rPr>
      <w:b/>
      <w:bCs/>
      <w:sz w:val="32"/>
      <w:szCs w:val="32"/>
    </w:rPr>
  </w:style>
  <w:style w:type="paragraph" w:styleId="6">
    <w:name w:val="heading 4"/>
    <w:basedOn w:val="1"/>
    <w:next w:val="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spacing w:line="240" w:lineRule="auto"/>
      <w:ind w:firstLine="570" w:firstLineChars="0"/>
    </w:pPr>
    <w:rPr>
      <w:rFonts w:ascii="仿宋" w:hAnsi="仿宋" w:eastAsia="仿宋"/>
      <w:kern w:val="0"/>
      <w:sz w:val="20"/>
    </w:rPr>
  </w:style>
  <w:style w:type="paragraph" w:styleId="10">
    <w:name w:val="Normal Indent"/>
    <w:basedOn w:val="1"/>
    <w:unhideWhenUsed/>
    <w:qFormat/>
    <w:uiPriority w:val="99"/>
    <w:pPr>
      <w:widowControl/>
      <w:ind w:firstLine="420"/>
      <w:jc w:val="left"/>
    </w:pPr>
    <w:rPr>
      <w:kern w:val="0"/>
      <w:sz w:val="20"/>
      <w:szCs w:val="20"/>
    </w:rPr>
  </w:style>
  <w:style w:type="paragraph" w:styleId="11">
    <w:name w:val="Body Text"/>
    <w:basedOn w:val="1"/>
    <w:next w:val="1"/>
    <w:qFormat/>
    <w:uiPriority w:val="0"/>
    <w:pPr>
      <w:spacing w:after="120"/>
    </w:pPr>
    <w:rPr>
      <w:szCs w:val="24"/>
    </w:rPr>
  </w:style>
  <w:style w:type="paragraph" w:styleId="12">
    <w:name w:val="Plain Text"/>
    <w:basedOn w:val="1"/>
    <w:qFormat/>
    <w:uiPriority w:val="0"/>
    <w:rPr>
      <w:rFonts w:ascii="宋体" w:hAnsi="Courier New"/>
      <w:szCs w:val="21"/>
    </w:rPr>
  </w:style>
  <w:style w:type="paragraph" w:styleId="13">
    <w:name w:val="footer"/>
    <w:basedOn w:val="1"/>
    <w:qFormat/>
    <w:uiPriority w:val="99"/>
    <w:pPr>
      <w:tabs>
        <w:tab w:val="center" w:pos="4153"/>
        <w:tab w:val="right" w:pos="8306"/>
      </w:tabs>
      <w:snapToGrid w:val="0"/>
      <w:jc w:val="left"/>
    </w:pPr>
    <w:rPr>
      <w:sz w:val="18"/>
      <w:szCs w:val="20"/>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toc 1"/>
    <w:basedOn w:val="1"/>
    <w:next w:val="1"/>
    <w:qFormat/>
    <w:uiPriority w:val="39"/>
    <w:pPr>
      <w:spacing w:before="120" w:after="120"/>
      <w:jc w:val="left"/>
    </w:pPr>
    <w:rPr>
      <w:b/>
      <w:bCs/>
      <w:caps/>
      <w:sz w:val="20"/>
      <w:szCs w:val="20"/>
    </w:rPr>
  </w:style>
  <w:style w:type="paragraph" w:styleId="16">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FollowedHyperlink"/>
    <w:basedOn w:val="19"/>
    <w:unhideWhenUsed/>
    <w:qFormat/>
    <w:uiPriority w:val="99"/>
    <w:rPr>
      <w:color w:val="800080"/>
      <w:u w:val="single"/>
    </w:rPr>
  </w:style>
  <w:style w:type="character" w:styleId="21">
    <w:name w:val="Hyperlink"/>
    <w:basedOn w:val="19"/>
    <w:qFormat/>
    <w:uiPriority w:val="0"/>
    <w:rPr>
      <w:color w:val="0000FF"/>
      <w:u w:val="single"/>
    </w:rPr>
  </w:style>
  <w:style w:type="paragraph" w:customStyle="1" w:styleId="22">
    <w:name w:val="WPSOffice手动目录 1"/>
    <w:qFormat/>
    <w:uiPriority w:val="0"/>
    <w:rPr>
      <w:rFonts w:ascii="Times New Roman" w:hAnsi="Times New Roman" w:eastAsia="宋体" w:cs="Times New Roman"/>
      <w:lang w:val="en-US" w:eastAsia="zh-CN" w:bidi="ar-SA"/>
    </w:rPr>
  </w:style>
  <w:style w:type="paragraph" w:customStyle="1" w:styleId="23">
    <w:name w:val="p0"/>
    <w:basedOn w:val="1"/>
    <w:qFormat/>
    <w:uiPriority w:val="99"/>
    <w:pPr>
      <w:widowControl/>
      <w:jc w:val="left"/>
    </w:pPr>
    <w:rPr>
      <w:rFonts w:cs="宋体"/>
      <w:kern w:val="0"/>
      <w:szCs w:val="21"/>
    </w:rPr>
  </w:style>
  <w:style w:type="character" w:customStyle="1" w:styleId="24">
    <w:name w:val="font11"/>
    <w:basedOn w:val="19"/>
    <w:qFormat/>
    <w:uiPriority w:val="0"/>
    <w:rPr>
      <w:rFonts w:hint="eastAsia" w:ascii="宋体" w:hAnsi="宋体" w:eastAsia="宋体" w:cs="宋体"/>
      <w:color w:val="000000"/>
      <w:sz w:val="18"/>
      <w:szCs w:val="18"/>
      <w:u w:val="none"/>
    </w:rPr>
  </w:style>
  <w:style w:type="paragraph" w:customStyle="1" w:styleId="25">
    <w:name w:val="Table Paragraph"/>
    <w:basedOn w:val="1"/>
    <w:qFormat/>
    <w:uiPriority w:val="1"/>
    <w:rPr>
      <w:rFonts w:ascii="宋体" w:hAnsi="宋体" w:cs="宋体"/>
      <w:lang w:val="zh-CN" w:bidi="zh-CN"/>
    </w:rPr>
  </w:style>
  <w:style w:type="paragraph" w:customStyle="1" w:styleId="26">
    <w:name w:val="列出段落1"/>
    <w:basedOn w:val="1"/>
    <w:qFormat/>
    <w:uiPriority w:val="0"/>
    <w:pPr>
      <w:ind w:firstLine="420" w:firstLineChars="200"/>
    </w:pPr>
  </w:style>
  <w:style w:type="paragraph" w:customStyle="1" w:styleId="27">
    <w:name w:val="List Paragraph"/>
    <w:basedOn w:val="1"/>
    <w:qFormat/>
    <w:uiPriority w:val="0"/>
    <w:pPr>
      <w:ind w:firstLine="420" w:firstLineChars="200"/>
    </w:pPr>
    <w:rPr>
      <w:szCs w:val="20"/>
    </w:rPr>
  </w:style>
  <w:style w:type="paragraph" w:customStyle="1" w:styleId="28">
    <w:name w:val="文中正文"/>
    <w:basedOn w:val="1"/>
    <w:qFormat/>
    <w:uiPriority w:val="99"/>
    <w:pPr>
      <w:ind w:firstLine="640" w:firstLineChars="200"/>
    </w:pPr>
    <w:rPr>
      <w:rFonts w:eastAsia="方正楷体简体"/>
      <w:bCs/>
      <w:spacing w:val="20"/>
      <w:sz w:val="28"/>
      <w:szCs w:val="24"/>
    </w:rPr>
  </w:style>
  <w:style w:type="paragraph" w:customStyle="1" w:styleId="29">
    <w:name w:val="大标题"/>
    <w:basedOn w:val="1"/>
    <w:qFormat/>
    <w:uiPriority w:val="99"/>
    <w:pPr>
      <w:spacing w:beforeLines="100" w:afterLines="50"/>
      <w:jc w:val="center"/>
    </w:pPr>
    <w:rPr>
      <w:rFonts w:eastAsia="方正魏碑简体"/>
      <w:bCs/>
      <w:spacing w:val="20"/>
      <w:sz w:val="72"/>
      <w:szCs w:val="24"/>
    </w:rPr>
  </w:style>
  <w:style w:type="character" w:customStyle="1" w:styleId="30">
    <w:name w:val="font71"/>
    <w:basedOn w:val="19"/>
    <w:qFormat/>
    <w:uiPriority w:val="0"/>
    <w:rPr>
      <w:rFonts w:hint="eastAsia" w:ascii="宋体" w:hAnsi="宋体" w:eastAsia="宋体" w:cs="宋体"/>
      <w:b/>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2020-05-09T09:27:00Z</dcterms:created>
  <dc:creator>糊涂</dc:creator>
  <cp:lastModifiedBy>蓝宝石</cp:lastModifiedBy>
  <cp:lastPrinted>2021-07-20T02:39:00Z</cp:lastPrinted>
  <dcterms:modified xsi:type="dcterms:W3CDTF">2021-07-20T03:01:51Z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6C325BC5D4C84953AA8775E1A77186B5</vt:lpwstr>
  </property>
  <property fmtid="{D5CDD505-2E9C-101B-9397-08002B2CF9AE}" pid="4" name="KSOSaveFontToCloudKey">
    <vt:lpwstr>274278490_btnclosed</vt:lpwstr>
  </property>
</Properties>
</file>