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cs="仿宋"/>
          <w:b/>
          <w:bCs/>
          <w:color w:val="auto"/>
          <w:sz w:val="32"/>
          <w:szCs w:val="32"/>
          <w:highlight w:val="none"/>
          <w:lang w:val="en-US" w:eastAsia="zh-CN"/>
        </w:rPr>
      </w:pPr>
      <w:bookmarkStart w:id="4" w:name="_GoBack"/>
      <w:bookmarkEnd w:id="4"/>
      <w:bookmarkStart w:id="0" w:name="_Toc22287"/>
      <w:bookmarkStart w:id="1" w:name="_Toc27409_WPSOffice_Level1"/>
      <w:bookmarkStart w:id="2" w:name="_Toc3161_WPSOffice_Level1"/>
      <w:bookmarkStart w:id="3" w:name="_Toc20280_WPSOffice_Level1"/>
      <w:r>
        <w:rPr>
          <w:rFonts w:hint="eastAsia" w:ascii="宋体" w:hAnsi="宋体" w:cs="宋体"/>
          <w:b/>
          <w:color w:val="auto"/>
          <w:sz w:val="28"/>
          <w:szCs w:val="28"/>
          <w:highlight w:val="none"/>
          <w:lang w:eastAsia="zh-CN"/>
        </w:rPr>
        <w:t>附</w:t>
      </w:r>
      <w:r>
        <w:rPr>
          <w:rFonts w:hint="eastAsia" w:ascii="宋体" w:hAnsi="宋体" w:cs="宋体"/>
          <w:b/>
          <w:color w:val="auto"/>
          <w:sz w:val="28"/>
          <w:szCs w:val="28"/>
          <w:highlight w:val="none"/>
        </w:rPr>
        <w:t>表一</w:t>
      </w: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泸石高速LS-TJ10-11标段桥梁下构及基础工程劳务合作项目（第二次）</w:t>
      </w:r>
    </w:p>
    <w:p>
      <w:pPr>
        <w:pStyle w:val="2"/>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分段划分、工程规模、工期统计表</w:t>
      </w:r>
    </w:p>
    <w:tbl>
      <w:tblPr>
        <w:tblStyle w:val="25"/>
        <w:tblpPr w:leftFromText="180" w:rightFromText="180" w:vertAnchor="text" w:horzAnchor="page" w:tblpXSpec="center" w:tblpY="594"/>
        <w:tblOverlap w:val="never"/>
        <w:tblW w:w="14133" w:type="dxa"/>
        <w:jc w:val="center"/>
        <w:tblLayout w:type="fixed"/>
        <w:tblCellMar>
          <w:top w:w="0" w:type="dxa"/>
          <w:left w:w="0" w:type="dxa"/>
          <w:bottom w:w="0" w:type="dxa"/>
          <w:right w:w="0" w:type="dxa"/>
        </w:tblCellMar>
      </w:tblPr>
      <w:tblGrid>
        <w:gridCol w:w="451"/>
        <w:gridCol w:w="1750"/>
        <w:gridCol w:w="1900"/>
        <w:gridCol w:w="2833"/>
        <w:gridCol w:w="2934"/>
        <w:gridCol w:w="3252"/>
        <w:gridCol w:w="1013"/>
      </w:tblGrid>
      <w:tr>
        <w:trPr>
          <w:trHeight w:val="480" w:hRule="atLeast"/>
          <w:tblHeader/>
          <w:jc w:val="center"/>
        </w:trPr>
        <w:tc>
          <w:tcPr>
            <w:tcW w:w="45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7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名称</w:t>
            </w:r>
          </w:p>
        </w:tc>
        <w:tc>
          <w:tcPr>
            <w:tcW w:w="19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5767"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tc>
        <w:tc>
          <w:tcPr>
            <w:tcW w:w="32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0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eastAsia="zh-CN" w:bidi="ar"/>
              </w:rPr>
              <w:t>计划</w:t>
            </w:r>
            <w:r>
              <w:rPr>
                <w:rFonts w:hint="eastAsia" w:ascii="宋体" w:hAnsi="宋体" w:eastAsia="宋体" w:cs="宋体"/>
                <w:color w:val="auto"/>
                <w:kern w:val="0"/>
                <w:sz w:val="18"/>
                <w:szCs w:val="18"/>
                <w:highlight w:val="none"/>
                <w:lang w:bidi="ar"/>
              </w:rPr>
              <w:t>工期</w:t>
            </w:r>
          </w:p>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个</w:t>
            </w:r>
            <w:r>
              <w:rPr>
                <w:rFonts w:hint="eastAsia" w:ascii="宋体" w:hAnsi="宋体" w:eastAsia="宋体" w:cs="宋体"/>
                <w:color w:val="auto"/>
                <w:kern w:val="0"/>
                <w:sz w:val="18"/>
                <w:szCs w:val="18"/>
                <w:highlight w:val="none"/>
                <w:lang w:bidi="ar"/>
              </w:rPr>
              <w:t>月）</w:t>
            </w:r>
          </w:p>
        </w:tc>
      </w:tr>
      <w:tr>
        <w:trPr>
          <w:trHeight w:val="500" w:hRule="atLeast"/>
          <w:tblHeader/>
          <w:jc w:val="center"/>
        </w:trPr>
        <w:tc>
          <w:tcPr>
            <w:tcW w:w="45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7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9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8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桥梁</w:t>
            </w:r>
          </w:p>
        </w:tc>
        <w:tc>
          <w:tcPr>
            <w:tcW w:w="2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路基及附属工程</w:t>
            </w:r>
          </w:p>
        </w:tc>
        <w:tc>
          <w:tcPr>
            <w:tcW w:w="32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01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rPr>
          <w:trHeight w:val="842" w:hRule="atLeast"/>
          <w:jc w:val="center"/>
        </w:trPr>
        <w:tc>
          <w:tcPr>
            <w:tcW w:w="4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bidi w:val="0"/>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w:t>
            </w:r>
          </w:p>
        </w:tc>
        <w:tc>
          <w:tcPr>
            <w:tcW w:w="17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LS-TJ10-11</w:t>
            </w:r>
          </w:p>
        </w:tc>
        <w:tc>
          <w:tcPr>
            <w:tcW w:w="19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K90+129～K91+845</w:t>
            </w:r>
          </w:p>
        </w:tc>
        <w:tc>
          <w:tcPr>
            <w:tcW w:w="28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翻身村左线大桥（424.48m）、翻身村右线大桥(334.48m)、翻身沟左线大桥（96.21m）、翻身沟右线大桥（96.21m）</w:t>
            </w:r>
          </w:p>
        </w:tc>
        <w:tc>
          <w:tcPr>
            <w:tcW w:w="2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路基挖方</w:t>
            </w:r>
            <w:r>
              <w:rPr>
                <w:rFonts w:hint="eastAsia" w:ascii="宋体" w:hAnsi="宋体" w:cs="宋体"/>
                <w:i w:val="0"/>
                <w:color w:val="000000"/>
                <w:kern w:val="0"/>
                <w:sz w:val="18"/>
                <w:szCs w:val="18"/>
                <w:u w:val="none"/>
                <w:lang w:val="en-US" w:eastAsia="zh-CN" w:bidi="ar"/>
              </w:rPr>
              <w:t>5.45</w:t>
            </w:r>
            <w:r>
              <w:rPr>
                <w:rFonts w:hint="eastAsia" w:ascii="宋体" w:hAnsi="宋体" w:eastAsia="宋体" w:cs="宋体"/>
                <w:i w:val="0"/>
                <w:color w:val="000000"/>
                <w:kern w:val="0"/>
                <w:sz w:val="18"/>
                <w:szCs w:val="18"/>
                <w:u w:val="none"/>
                <w:lang w:val="en-US" w:eastAsia="zh-CN" w:bidi="ar"/>
              </w:rPr>
              <w:t>万方；填方</w:t>
            </w:r>
            <w:r>
              <w:rPr>
                <w:rFonts w:hint="eastAsia" w:ascii="宋体" w:hAnsi="宋体" w:cs="宋体"/>
                <w:i w:val="0"/>
                <w:color w:val="000000"/>
                <w:kern w:val="0"/>
                <w:sz w:val="18"/>
                <w:szCs w:val="18"/>
                <w:u w:val="none"/>
                <w:lang w:val="en-US" w:eastAsia="zh-CN" w:bidi="ar"/>
              </w:rPr>
              <w:t>26.72</w:t>
            </w:r>
            <w:r>
              <w:rPr>
                <w:rFonts w:hint="eastAsia" w:ascii="宋体" w:hAnsi="宋体" w:eastAsia="宋体" w:cs="宋体"/>
                <w:i w:val="0"/>
                <w:color w:val="000000"/>
                <w:kern w:val="0"/>
                <w:sz w:val="18"/>
                <w:szCs w:val="18"/>
                <w:u w:val="none"/>
                <w:lang w:val="en-US" w:eastAsia="zh-CN" w:bidi="ar"/>
              </w:rPr>
              <w:t>万方；抗滑桩</w:t>
            </w:r>
            <w:r>
              <w:rPr>
                <w:rFonts w:hint="eastAsia" w:ascii="宋体" w:hAnsi="宋体" w:cs="宋体"/>
                <w:i w:val="0"/>
                <w:color w:val="000000"/>
                <w:kern w:val="0"/>
                <w:sz w:val="18"/>
                <w:szCs w:val="18"/>
                <w:u w:val="none"/>
                <w:lang w:val="en-US" w:eastAsia="zh-CN" w:bidi="ar"/>
              </w:rPr>
              <w:t>1.77</w:t>
            </w:r>
            <w:r>
              <w:rPr>
                <w:rFonts w:hint="eastAsia" w:ascii="宋体" w:hAnsi="宋体" w:eastAsia="宋体" w:cs="宋体"/>
                <w:i w:val="0"/>
                <w:color w:val="000000"/>
                <w:kern w:val="0"/>
                <w:sz w:val="18"/>
                <w:szCs w:val="18"/>
                <w:u w:val="none"/>
                <w:lang w:val="en-US" w:eastAsia="zh-CN" w:bidi="ar"/>
              </w:rPr>
              <w:t>万m³、桩板墙</w:t>
            </w:r>
            <w:r>
              <w:rPr>
                <w:rFonts w:hint="eastAsia" w:ascii="宋体" w:hAnsi="宋体" w:cs="宋体"/>
                <w:i w:val="0"/>
                <w:color w:val="000000"/>
                <w:kern w:val="0"/>
                <w:sz w:val="18"/>
                <w:szCs w:val="18"/>
                <w:u w:val="none"/>
                <w:lang w:val="en-US" w:eastAsia="zh-CN" w:bidi="ar"/>
              </w:rPr>
              <w:t>0.43</w:t>
            </w:r>
            <w:r>
              <w:rPr>
                <w:rFonts w:hint="eastAsia" w:ascii="宋体" w:hAnsi="宋体" w:eastAsia="宋体" w:cs="宋体"/>
                <w:i w:val="0"/>
                <w:color w:val="000000"/>
                <w:kern w:val="0"/>
                <w:sz w:val="18"/>
                <w:szCs w:val="18"/>
                <w:u w:val="none"/>
                <w:lang w:val="en-US" w:eastAsia="zh-CN" w:bidi="ar"/>
              </w:rPr>
              <w:t>万m³。</w:t>
            </w:r>
          </w:p>
        </w:tc>
        <w:tc>
          <w:tcPr>
            <w:tcW w:w="32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桥梁下构及基础工程、路基、涵洞及附属工程、对应进场便道</w:t>
            </w:r>
            <w:r>
              <w:rPr>
                <w:rFonts w:hint="eastAsia" w:ascii="宋体" w:hAnsi="宋体" w:cs="宋体"/>
                <w:i w:val="0"/>
                <w:color w:val="000000"/>
                <w:kern w:val="0"/>
                <w:sz w:val="18"/>
                <w:szCs w:val="18"/>
                <w:u w:val="none"/>
                <w:lang w:val="en-US" w:eastAsia="zh-CN" w:bidi="ar"/>
              </w:rPr>
              <w:t>钢</w:t>
            </w:r>
            <w:r>
              <w:rPr>
                <w:rFonts w:hint="eastAsia" w:ascii="宋体" w:hAnsi="宋体" w:eastAsia="宋体" w:cs="宋体"/>
                <w:i w:val="0"/>
                <w:color w:val="000000"/>
                <w:kern w:val="0"/>
                <w:sz w:val="18"/>
                <w:szCs w:val="18"/>
                <w:u w:val="none"/>
                <w:lang w:val="en-US" w:eastAsia="zh-CN" w:bidi="ar"/>
              </w:rPr>
              <w:t>便桥协作（不含钢筋制作和砼拌和运输、小型预制构件）</w:t>
            </w:r>
          </w:p>
        </w:tc>
        <w:tc>
          <w:tcPr>
            <w:tcW w:w="10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12</w:t>
            </w:r>
          </w:p>
        </w:tc>
      </w:tr>
    </w:tbl>
    <w:p>
      <w:pPr>
        <w:rPr>
          <w:rFonts w:hint="eastAsia"/>
        </w:rPr>
      </w:pPr>
    </w:p>
    <w:p>
      <w:pPr>
        <w:rPr>
          <w:rFonts w:hint="eastAsia"/>
        </w:rPr>
      </w:pPr>
    </w:p>
    <w:p>
      <w:pPr>
        <w:rPr>
          <w:rFonts w:hint="eastAsia"/>
        </w:rPr>
      </w:pPr>
    </w:p>
    <w:p>
      <w:pPr>
        <w:pStyle w:val="2"/>
        <w:ind w:left="0" w:leftChars="0" w:firstLine="0" w:firstLineChars="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val="en-US" w:eastAsia="zh-CN"/>
        </w:rPr>
        <w:t>泸石高速LS-TJ10-11标段桥梁下构及基础工程劳务合作项目（第二次）</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rPr>
          <w:rFonts w:hint="eastAsia"/>
        </w:rPr>
      </w:pPr>
    </w:p>
    <w:tbl>
      <w:tblPr>
        <w:tblStyle w:val="25"/>
        <w:tblpPr w:leftFromText="180" w:rightFromText="180" w:vertAnchor="text" w:horzAnchor="page" w:tblpX="1280" w:tblpY="89"/>
        <w:tblOverlap w:val="never"/>
        <w:tblW w:w="14243" w:type="dxa"/>
        <w:jc w:val="center"/>
        <w:tblLayout w:type="fixed"/>
        <w:tblCellMar>
          <w:top w:w="0" w:type="dxa"/>
          <w:left w:w="0" w:type="dxa"/>
          <w:bottom w:w="0" w:type="dxa"/>
          <w:right w:w="0" w:type="dxa"/>
        </w:tblCellMar>
      </w:tblPr>
      <w:tblGrid>
        <w:gridCol w:w="527"/>
        <w:gridCol w:w="1773"/>
        <w:gridCol w:w="4335"/>
        <w:gridCol w:w="3753"/>
        <w:gridCol w:w="3855"/>
      </w:tblGrid>
      <w:tr>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bidi="ar"/>
              </w:rPr>
              <w:t>序号</w:t>
            </w:r>
          </w:p>
        </w:tc>
        <w:tc>
          <w:tcPr>
            <w:tcW w:w="177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433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leftChars="0" w:right="344" w:rightChars="0"/>
              <w:jc w:val="center"/>
              <w:rPr>
                <w:rFonts w:hint="eastAsia" w:asciiTheme="minorEastAsia" w:hAnsiTheme="minorEastAsia" w:eastAsiaTheme="minorEastAsia" w:cstheme="minorEastAsia"/>
                <w:color w:val="auto"/>
                <w:sz w:val="18"/>
                <w:szCs w:val="18"/>
                <w:highlight w:val="none"/>
                <w:lang w:eastAsia="zh-CN"/>
              </w:rPr>
            </w:pPr>
            <w:r>
              <w:rPr>
                <w:rFonts w:hint="eastAsia"/>
                <w:color w:val="auto"/>
                <w:sz w:val="18"/>
                <w:szCs w:val="18"/>
                <w:highlight w:val="none"/>
              </w:rPr>
              <w:t>施工企业资质等级要求</w:t>
            </w:r>
          </w:p>
        </w:tc>
        <w:tc>
          <w:tcPr>
            <w:tcW w:w="375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leftChars="0" w:right="344" w:rightChars="0"/>
              <w:jc w:val="center"/>
              <w:textAlignment w:val="center"/>
              <w:rPr>
                <w:rFonts w:hint="eastAsia" w:asciiTheme="minorEastAsia" w:hAnsiTheme="minorEastAsia" w:eastAsiaTheme="minorEastAsia" w:cstheme="minorEastAsia"/>
                <w:color w:val="auto"/>
                <w:sz w:val="18"/>
                <w:szCs w:val="18"/>
                <w:highlight w:val="none"/>
              </w:rPr>
            </w:pPr>
            <w:r>
              <w:rPr>
                <w:rFonts w:hint="eastAsia"/>
                <w:color w:val="auto"/>
                <w:sz w:val="18"/>
                <w:szCs w:val="18"/>
                <w:highlight w:val="none"/>
              </w:rPr>
              <w:t>业绩基本要求</w:t>
            </w:r>
          </w:p>
        </w:tc>
        <w:tc>
          <w:tcPr>
            <w:tcW w:w="385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rPr>
          <w:trHeight w:val="312"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77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33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75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85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rPr>
          <w:trHeight w:val="1228"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7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LS-TJ10-11</w:t>
            </w:r>
          </w:p>
        </w:tc>
        <w:tc>
          <w:tcPr>
            <w:tcW w:w="43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lang w:val="en-US" w:eastAsia="zh-CN"/>
              </w:rPr>
              <w:t xml:space="preserve"> </w:t>
            </w:r>
            <w:r>
              <w:rPr>
                <w:rFonts w:hint="eastAsia"/>
                <w:color w:val="auto"/>
                <w:sz w:val="18"/>
                <w:szCs w:val="18"/>
                <w:highlight w:val="none"/>
              </w:rPr>
              <w:t>具有</w:t>
            </w:r>
            <w:r>
              <w:rPr>
                <w:rFonts w:hint="eastAsia"/>
                <w:color w:val="auto"/>
                <w:sz w:val="18"/>
                <w:szCs w:val="18"/>
                <w:highlight w:val="none"/>
                <w:lang w:eastAsia="zh-CN"/>
              </w:rPr>
              <w:t>政府主管部门颁布</w:t>
            </w:r>
            <w:r>
              <w:rPr>
                <w:rFonts w:hint="eastAsia"/>
                <w:color w:val="auto"/>
                <w:sz w:val="18"/>
                <w:szCs w:val="18"/>
                <w:highlight w:val="none"/>
              </w:rPr>
              <w:t>的</w:t>
            </w:r>
            <w:r>
              <w:rPr>
                <w:rFonts w:hint="eastAsia" w:ascii="宋体" w:hAnsi="宋体" w:cs="宋体"/>
                <w:color w:val="auto"/>
                <w:sz w:val="18"/>
                <w:szCs w:val="18"/>
                <w:highlight w:val="none"/>
              </w:rPr>
              <w:t>施工劳务资质</w:t>
            </w:r>
            <w:r>
              <w:rPr>
                <w:rFonts w:hint="eastAsia" w:ascii="宋体" w:hAnsi="宋体" w:cs="宋体"/>
                <w:color w:val="auto"/>
                <w:sz w:val="18"/>
                <w:szCs w:val="18"/>
                <w:highlight w:val="none"/>
                <w:lang w:val="en-US" w:eastAsia="zh-CN"/>
              </w:rPr>
              <w:t>或桥梁专业贰级及以上资质</w:t>
            </w:r>
            <w:r>
              <w:rPr>
                <w:rFonts w:hint="eastAsia" w:ascii="宋体" w:hAnsi="宋体" w:cs="宋体"/>
                <w:color w:val="auto"/>
                <w:sz w:val="18"/>
                <w:szCs w:val="18"/>
                <w:highlight w:val="none"/>
              </w:rPr>
              <w:t>或公路工程施工总承包</w:t>
            </w:r>
            <w:r>
              <w:rPr>
                <w:rFonts w:hint="eastAsia" w:ascii="宋体" w:hAnsi="宋体" w:cs="宋体"/>
                <w:color w:val="auto"/>
                <w:sz w:val="18"/>
                <w:szCs w:val="18"/>
                <w:highlight w:val="none"/>
                <w:lang w:val="en-US" w:eastAsia="zh-CN"/>
              </w:rPr>
              <w:t>三</w:t>
            </w:r>
            <w:r>
              <w:rPr>
                <w:rFonts w:hint="eastAsia" w:ascii="宋体" w:hAnsi="宋体" w:cs="宋体"/>
                <w:color w:val="auto"/>
                <w:sz w:val="18"/>
                <w:szCs w:val="18"/>
                <w:highlight w:val="none"/>
              </w:rPr>
              <w:t>级及以上资质</w:t>
            </w:r>
          </w:p>
        </w:tc>
        <w:tc>
          <w:tcPr>
            <w:tcW w:w="37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5年内具有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类似的高速公路路基及桥梁下部</w:t>
            </w:r>
            <w:r>
              <w:rPr>
                <w:rFonts w:hint="eastAsia" w:ascii="宋体" w:hAnsi="宋体" w:eastAsia="宋体" w:cs="宋体"/>
                <w:i w:val="0"/>
                <w:color w:val="000000"/>
                <w:kern w:val="0"/>
                <w:sz w:val="18"/>
                <w:szCs w:val="18"/>
                <w:u w:val="none"/>
                <w:lang w:val="en-US" w:eastAsia="zh-CN" w:bidi="ar"/>
              </w:rPr>
              <w:t>业绩</w:t>
            </w:r>
          </w:p>
        </w:tc>
        <w:tc>
          <w:tcPr>
            <w:tcW w:w="3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201</w:t>
            </w:r>
            <w:r>
              <w:rPr>
                <w:rFonts w:hint="eastAsia" w:ascii="宋体" w:hAnsi="宋体" w:cs="宋体"/>
                <w:i w:val="0"/>
                <w:color w:val="000000"/>
                <w:kern w:val="0"/>
                <w:sz w:val="18"/>
                <w:szCs w:val="18"/>
                <w:u w:val="none"/>
                <w:lang w:val="en-US" w:eastAsia="zh-CN" w:bidi="ar"/>
              </w:rPr>
              <w:t>7</w:t>
            </w:r>
            <w:r>
              <w:rPr>
                <w:rFonts w:hint="eastAsia" w:ascii="宋体" w:hAnsi="宋体" w:eastAsia="宋体" w:cs="宋体"/>
                <w:i w:val="0"/>
                <w:color w:val="000000"/>
                <w:kern w:val="0"/>
                <w:sz w:val="18"/>
                <w:szCs w:val="18"/>
                <w:u w:val="none"/>
                <w:lang w:val="en-US" w:eastAsia="zh-CN" w:bidi="ar"/>
              </w:rPr>
              <w:t>年1月1日</w:t>
            </w:r>
            <w:r>
              <w:rPr>
                <w:rFonts w:hint="eastAsia" w:ascii="宋体" w:hAnsi="宋体" w:cs="宋体"/>
                <w:i w:val="0"/>
                <w:color w:val="000000"/>
                <w:kern w:val="0"/>
                <w:sz w:val="18"/>
                <w:szCs w:val="18"/>
                <w:u w:val="none"/>
                <w:lang w:val="en-US" w:eastAsia="zh-CN" w:bidi="ar"/>
              </w:rPr>
              <w:t>后，以提供的合同协议书复印件或相关证明材料为准</w:t>
            </w:r>
          </w:p>
        </w:tc>
      </w:tr>
    </w:tbl>
    <w:p>
      <w:pPr>
        <w:pStyle w:val="2"/>
        <w:ind w:firstLine="0"/>
        <w:jc w:val="center"/>
        <w:rPr>
          <w:rFonts w:hint="eastAsia" w:cs="仿宋"/>
          <w:b/>
          <w:bCs/>
          <w:color w:val="auto"/>
          <w:sz w:val="32"/>
          <w:szCs w:val="32"/>
          <w:highlight w:val="none"/>
        </w:rPr>
      </w:pPr>
    </w:p>
    <w:p>
      <w:pPr>
        <w:rPr>
          <w:rFonts w:hint="eastAsia" w:cs="仿宋"/>
          <w:b/>
          <w:bCs/>
          <w:color w:val="auto"/>
          <w:sz w:val="32"/>
          <w:szCs w:val="32"/>
          <w:highlight w:val="none"/>
        </w:rPr>
      </w:pPr>
    </w:p>
    <w:p>
      <w:pPr>
        <w:pStyle w:val="2"/>
        <w:rPr>
          <w:rFonts w:hint="eastAsia"/>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rPr>
          <w:rFonts w:hint="default"/>
          <w:lang w:val="en-US" w:eastAsia="zh-CN"/>
        </w:rPr>
      </w:pPr>
    </w:p>
    <w:tbl>
      <w:tblPr>
        <w:tblStyle w:val="25"/>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148"/>
        <w:gridCol w:w="3197"/>
        <w:gridCol w:w="1139"/>
        <w:gridCol w:w="2356"/>
      </w:tblGrid>
      <w:tr>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泸石高速LS-TJ10-11标段桥梁下构及基础工程劳务合作项目（第二次）</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各分段拟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w:t>
            </w:r>
          </w:p>
        </w:tc>
      </w:tr>
      <w:tr>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测量人员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kern w:val="0"/>
                <w:szCs w:val="21"/>
                <w:lang w:bidi="ar"/>
              </w:rPr>
              <w:t>协助项目技术负责人负责项目施工现场测量工作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5</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资料员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桥梁专业工程师</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kern w:val="0"/>
                <w:szCs w:val="21"/>
                <w:lang w:bidi="ar"/>
              </w:rPr>
              <w:t>协助项目技术负责人负责项目施工现场</w:t>
            </w:r>
            <w:r>
              <w:rPr>
                <w:rFonts w:hint="eastAsia" w:ascii="宋体" w:hAnsi="宋体" w:cs="宋体"/>
                <w:kern w:val="0"/>
                <w:szCs w:val="21"/>
                <w:lang w:val="en-US" w:eastAsia="zh-CN" w:bidi="ar"/>
              </w:rPr>
              <w:t>管理</w:t>
            </w:r>
            <w:r>
              <w:rPr>
                <w:rFonts w:hint="eastAsia" w:ascii="宋体" w:hAnsi="宋体" w:cs="宋体"/>
                <w:kern w:val="0"/>
                <w:szCs w:val="21"/>
                <w:lang w:bidi="ar"/>
              </w:rPr>
              <w:t>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left="0" w:leftChars="0" w:firstLine="0" w:firstLineChars="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rPr>
          <w:rFonts w:hint="eastAsia"/>
          <w:lang w:eastAsia="zh-CN"/>
        </w:rPr>
      </w:pPr>
    </w:p>
    <w:tbl>
      <w:tblPr>
        <w:tblStyle w:val="25"/>
        <w:tblW w:w="97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20"/>
      </w:tblGrid>
      <w:tr>
        <w:trPr>
          <w:trHeight w:val="623" w:hRule="atLeast"/>
        </w:trPr>
        <w:tc>
          <w:tcPr>
            <w:tcW w:w="9720"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泸石高速LS-TJ10-11标段桥梁下构及基础工程劳务合作项目（第二次）</w:t>
            </w:r>
          </w:p>
          <w:p>
            <w:pPr>
              <w:keepNext w:val="0"/>
              <w:keepLines w:val="0"/>
              <w:widowControl/>
              <w:suppressLineNumbers w:val="0"/>
              <w:spacing w:line="360" w:lineRule="auto"/>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p>
        </w:tc>
      </w:tr>
      <w:tr>
        <w:trPr>
          <w:trHeight w:val="4686" w:hRule="atLeast"/>
        </w:trPr>
        <w:tc>
          <w:tcPr>
            <w:tcW w:w="9720" w:type="dxa"/>
            <w:tcBorders>
              <w:tl2br w:val="nil"/>
              <w:tr2bl w:val="nil"/>
            </w:tcBorders>
            <w:tcMar>
              <w:top w:w="15" w:type="dxa"/>
              <w:left w:w="15" w:type="dxa"/>
              <w:right w:w="15" w:type="dxa"/>
            </w:tcMar>
            <w:vAlign w:val="center"/>
          </w:tcPr>
          <w:tbl>
            <w:tblPr>
              <w:tblStyle w:val="25"/>
              <w:tblW w:w="9176" w:type="dxa"/>
              <w:jc w:val="center"/>
              <w:tblLayout w:type="fixed"/>
              <w:tblCellMar>
                <w:top w:w="0" w:type="dxa"/>
                <w:left w:w="108" w:type="dxa"/>
                <w:bottom w:w="0" w:type="dxa"/>
                <w:right w:w="108" w:type="dxa"/>
              </w:tblCellMar>
            </w:tblPr>
            <w:tblGrid>
              <w:gridCol w:w="658"/>
              <w:gridCol w:w="1678"/>
              <w:gridCol w:w="935"/>
              <w:gridCol w:w="780"/>
              <w:gridCol w:w="960"/>
              <w:gridCol w:w="960"/>
              <w:gridCol w:w="913"/>
              <w:gridCol w:w="732"/>
              <w:gridCol w:w="732"/>
              <w:gridCol w:w="828"/>
            </w:tblGrid>
            <w:tr>
              <w:trPr>
                <w:trHeight w:val="395" w:hRule="atLeast"/>
                <w:jc w:val="center"/>
              </w:trPr>
              <w:tc>
                <w:tcPr>
                  <w:tcW w:w="65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序号</w:t>
                  </w:r>
                </w:p>
              </w:tc>
              <w:tc>
                <w:tcPr>
                  <w:tcW w:w="167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jc w:val="center"/>
                    <w:textAlignment w:val="center"/>
                    <w:rPr>
                      <w:rFonts w:ascii="宋体" w:hAnsi="宋体" w:cs="宋体"/>
                    </w:rPr>
                  </w:pPr>
                  <w:r>
                    <w:rPr>
                      <w:rFonts w:hint="eastAsia" w:ascii="宋体" w:hAnsi="宋体" w:cs="宋体"/>
                    </w:rPr>
                    <w:t>机械设备名称</w:t>
                  </w:r>
                </w:p>
              </w:tc>
              <w:tc>
                <w:tcPr>
                  <w:tcW w:w="93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单位</w:t>
                  </w:r>
                </w:p>
              </w:tc>
              <w:tc>
                <w:tcPr>
                  <w:tcW w:w="192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基本要求</w:t>
                  </w:r>
                </w:p>
              </w:tc>
              <w:tc>
                <w:tcPr>
                  <w:tcW w:w="91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每增加一台自有设备加分值</w:t>
                  </w:r>
                </w:p>
              </w:tc>
              <w:tc>
                <w:tcPr>
                  <w:tcW w:w="7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加分上限</w:t>
                  </w:r>
                </w:p>
              </w:tc>
              <w:tc>
                <w:tcPr>
                  <w:tcW w:w="7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出厂日期</w:t>
                  </w:r>
                </w:p>
              </w:tc>
              <w:tc>
                <w:tcPr>
                  <w:tcW w:w="82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备注</w:t>
                  </w:r>
                </w:p>
              </w:tc>
            </w:tr>
            <w:tr>
              <w:trPr>
                <w:trHeight w:val="379" w:hRule="atLeast"/>
                <w:jc w:val="center"/>
              </w:trPr>
              <w:tc>
                <w:tcPr>
                  <w:tcW w:w="658"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678"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935"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80"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总数量</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40" w:lineRule="auto"/>
                    <w:ind w:right="5"/>
                    <w:jc w:val="center"/>
                    <w:textAlignment w:val="center"/>
                    <w:rPr>
                      <w:rFonts w:ascii="宋体" w:hAnsi="宋体" w:cs="宋体"/>
                    </w:rPr>
                  </w:pPr>
                  <w:r>
                    <w:rPr>
                      <w:rFonts w:hint="eastAsia" w:ascii="宋体" w:hAnsi="宋体" w:cs="宋体"/>
                    </w:rPr>
                    <w:t>自有设备</w:t>
                  </w:r>
                </w:p>
              </w:tc>
              <w:tc>
                <w:tcPr>
                  <w:tcW w:w="91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828"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1</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szCs w:val="21"/>
                      <w:lang w:val="en-US" w:eastAsia="zh-CN"/>
                    </w:rPr>
                  </w:pPr>
                  <w:r>
                    <w:rPr>
                      <w:rFonts w:hint="eastAsia" w:ascii="宋体" w:hAnsi="宋体" w:cs="宋体"/>
                    </w:rPr>
                    <w:t>挖掘机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220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auto"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0.5</w:t>
                  </w:r>
                </w:p>
              </w:tc>
              <w:tc>
                <w:tcPr>
                  <w:tcW w:w="732"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lang w:val="en-US" w:eastAsia="zh-CN"/>
                    </w:rPr>
                    <w:t>0.5</w:t>
                  </w:r>
                </w:p>
              </w:tc>
              <w:tc>
                <w:tcPr>
                  <w:tcW w:w="732" w:type="dxa"/>
                  <w:vMerge w:val="restart"/>
                  <w:tcBorders>
                    <w:top w:val="single" w:color="auto" w:sz="4" w:space="0"/>
                    <w:left w:val="single" w:color="000000" w:sz="4" w:space="0"/>
                    <w:right w:val="single" w:color="000000" w:sz="4" w:space="0"/>
                    <w:tl2br w:val="nil"/>
                    <w:tr2bl w:val="nil"/>
                  </w:tcBorders>
                  <w:vAlign w:val="center"/>
                </w:tcPr>
                <w:p>
                  <w:pPr>
                    <w:widowControl/>
                    <w:spacing w:line="240" w:lineRule="auto"/>
                    <w:ind w:right="5"/>
                    <w:jc w:val="center"/>
                    <w:textAlignment w:val="center"/>
                    <w:rPr>
                      <w:rFonts w:ascii="宋体" w:hAnsi="宋体" w:cs="宋体"/>
                    </w:rPr>
                  </w:pPr>
                  <w:r>
                    <w:rPr>
                      <w:rFonts w:hint="eastAsia" w:ascii="宋体" w:hAnsi="宋体" w:cs="宋体"/>
                    </w:rPr>
                    <w:t>2016年1月以后</w:t>
                  </w:r>
                </w:p>
              </w:tc>
              <w:tc>
                <w:tcPr>
                  <w:tcW w:w="828" w:type="dxa"/>
                  <w:vMerge w:val="restart"/>
                  <w:tcBorders>
                    <w:top w:val="single" w:color="auto" w:sz="4" w:space="0"/>
                    <w:left w:val="single" w:color="000000" w:sz="4" w:space="0"/>
                    <w:right w:val="single" w:color="auto" w:sz="4" w:space="0"/>
                    <w:tl2br w:val="nil"/>
                    <w:tr2bl w:val="nil"/>
                  </w:tcBorders>
                  <w:vAlign w:val="center"/>
                </w:tcPr>
                <w:p>
                  <w:pPr>
                    <w:widowControl/>
                    <w:spacing w:line="240" w:lineRule="auto"/>
                    <w:ind w:right="5"/>
                    <w:jc w:val="center"/>
                    <w:textAlignment w:val="center"/>
                    <w:rPr>
                      <w:rFonts w:ascii="宋体" w:hAnsi="宋体" w:cs="宋体"/>
                    </w:rPr>
                  </w:pPr>
                  <w:r>
                    <w:rPr>
                      <w:rFonts w:hint="eastAsia" w:ascii="宋体" w:hAnsi="宋体" w:eastAsia="宋体" w:cs="宋体"/>
                      <w:color w:val="auto"/>
                      <w:highlight w:val="none"/>
                      <w:lang w:val="en-US" w:eastAsia="zh-CN"/>
                    </w:rPr>
                    <w:t>自有设备需提供购买发票或公证机关出具的公证书</w:t>
                  </w: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rPr>
                  </w:pPr>
                  <w:r>
                    <w:rPr>
                      <w:rFonts w:hint="eastAsia" w:ascii="宋体" w:hAnsi="宋体" w:cs="宋体"/>
                    </w:rPr>
                    <w:t>2</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rPr>
                  </w:pPr>
                  <w:r>
                    <w:rPr>
                      <w:rFonts w:hint="eastAsia" w:ascii="宋体" w:hAnsi="宋体" w:cs="宋体"/>
                    </w:rPr>
                    <w:t>挖掘机</w:t>
                  </w:r>
                  <w:r>
                    <w:rPr>
                      <w:rFonts w:hint="eastAsia" w:ascii="宋体" w:hAnsi="宋体" w:cs="宋体"/>
                      <w:lang w:eastAsia="zh-CN"/>
                    </w:rPr>
                    <w:t>（带破碎头）</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rPr>
                  </w:pPr>
                  <w:r>
                    <w:rPr>
                      <w:rFonts w:hint="eastAsia" w:ascii="宋体" w:hAnsi="宋体" w:cs="宋体"/>
                    </w:rPr>
                    <w:t>220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eastAsia="宋体" w:cs="宋体"/>
                      <w:lang w:val="en-US" w:eastAsia="zh-CN"/>
                    </w:rPr>
                  </w:pPr>
                  <w:r>
                    <w:rPr>
                      <w:rFonts w:hint="eastAsia" w:ascii="宋体" w:hAnsi="宋体" w:cs="宋体"/>
                      <w:lang w:val="en-US" w:eastAsia="zh-CN"/>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rPr>
                  </w:pPr>
                  <w:r>
                    <w:rPr>
                      <w:rFonts w:hint="eastAsia" w:ascii="宋体" w:hAnsi="宋体" w:cs="宋体"/>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eastAsia" w:ascii="宋体" w:hAnsi="宋体" w:cs="宋体"/>
                      <w:lang w:val="en-US" w:eastAsia="zh-CN"/>
                    </w:rPr>
                  </w:pPr>
                  <w:r>
                    <w:rPr>
                      <w:rFonts w:hint="eastAsia" w:ascii="宋体" w:hAnsi="宋体" w:cs="宋体"/>
                      <w:lang w:val="en-US" w:eastAsia="zh-CN"/>
                    </w:rPr>
                    <w:t>0.5</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3</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推土机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TY220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lang w:val="en-US" w:eastAsia="zh-CN"/>
                    </w:rPr>
                    <w:t>0.5</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4</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压路机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20T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lang w:val="en-US" w:eastAsia="zh-CN"/>
                    </w:rPr>
                    <w:t>0.5</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5</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装载机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50型</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3</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lang w:val="en-US" w:eastAsia="zh-CN"/>
                    </w:rPr>
                    <w:t>0.5</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6</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吊车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25T</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2</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1</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7</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平地机</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PY180</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0.5</w:t>
                  </w: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hint="default" w:ascii="宋体" w:hAnsi="宋体" w:eastAsia="宋体" w:cs="宋体"/>
                      <w:color w:val="auto"/>
                      <w:szCs w:val="21"/>
                      <w:lang w:val="en-US" w:eastAsia="zh-CN"/>
                    </w:rPr>
                  </w:pPr>
                  <w:r>
                    <w:rPr>
                      <w:rFonts w:hint="eastAsia" w:ascii="宋体" w:hAnsi="宋体" w:cs="宋体"/>
                      <w:lang w:val="en-US" w:eastAsia="zh-CN"/>
                    </w:rPr>
                    <w:t>0.5</w:t>
                  </w: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8</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洒水车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10m³</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9</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自卸车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20m³</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5</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10</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泥浆车</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8m³</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辆</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11</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墩柱模板</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1</w:t>
                  </w:r>
                  <w:r>
                    <w:rPr>
                      <w:rFonts w:ascii="宋体" w:hAnsi="宋体" w:cs="宋体"/>
                    </w:rPr>
                    <w:t>5</w:t>
                  </w:r>
                  <w:r>
                    <w:rPr>
                      <w:rFonts w:hint="eastAsia" w:ascii="宋体" w:hAnsi="宋体" w:cs="宋体"/>
                    </w:rPr>
                    <w:t>m</w:t>
                  </w: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套</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2</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1</w:t>
                  </w:r>
                  <w:r>
                    <w:rPr>
                      <w:rFonts w:ascii="宋体" w:hAnsi="宋体" w:cs="宋体"/>
                      <w:color w:val="auto"/>
                    </w:rPr>
                    <w:t>2</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冲击钻</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hint="eastAsia" w:ascii="宋体" w:hAnsi="宋体" w:cs="宋体"/>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r>
                    <w:rPr>
                      <w:rFonts w:ascii="宋体" w:hAnsi="宋体" w:cs="宋体"/>
                    </w:rPr>
                    <w:t>8</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ind w:left="0" w:leftChars="0" w:firstLine="0" w:firstLineChars="0"/>
                    <w:jc w:val="center"/>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color w:val="auto"/>
                      <w:szCs w:val="21"/>
                      <w:lang w:val="en-US" w:eastAsia="zh-CN"/>
                    </w:rPr>
                  </w:pPr>
                  <w:r>
                    <w:rPr>
                      <w:rFonts w:hint="eastAsia" w:ascii="宋体" w:hAnsi="宋体" w:cs="宋体"/>
                      <w:color w:val="auto"/>
                    </w:rPr>
                    <w:t>1</w:t>
                  </w:r>
                  <w:r>
                    <w:rPr>
                      <w:rFonts w:ascii="宋体" w:hAnsi="宋体" w:cs="宋体"/>
                      <w:color w:val="auto"/>
                    </w:rPr>
                    <w:t>3</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水磨钻</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Cs w:val="21"/>
                      <w:lang w:val="en-US" w:eastAsia="zh-CN"/>
                    </w:rPr>
                  </w:pPr>
                  <w:r>
                    <w:rPr>
                      <w:rFonts w:hint="eastAsia" w:ascii="宋体" w:hAnsi="宋体" w:cs="宋体"/>
                      <w:color w:val="auto"/>
                    </w:rPr>
                    <w:t>1</w:t>
                  </w:r>
                  <w:r>
                    <w:rPr>
                      <w:rFonts w:ascii="宋体" w:hAnsi="宋体" w:cs="宋体"/>
                      <w:color w:val="auto"/>
                    </w:rPr>
                    <w:t>4</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冲击碾</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r>
                    <w:rPr>
                      <w:rFonts w:hint="eastAsia" w:ascii="宋体" w:hAnsi="宋体" w:cs="宋体"/>
                      <w:color w:val="auto"/>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Cs w:val="21"/>
                      <w:lang w:val="en-US" w:eastAsia="zh-CN"/>
                    </w:rPr>
                  </w:pPr>
                  <w:r>
                    <w:rPr>
                      <w:rFonts w:hint="eastAsia" w:ascii="宋体" w:hAnsi="宋体" w:cs="宋体"/>
                      <w:color w:val="auto"/>
                    </w:rPr>
                    <w:t>1</w:t>
                  </w:r>
                  <w:r>
                    <w:rPr>
                      <w:rFonts w:ascii="宋体" w:hAnsi="宋体" w:cs="宋体"/>
                      <w:color w:val="auto"/>
                    </w:rPr>
                    <w:t>5</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输送泵</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r>
                    <w:rPr>
                      <w:rFonts w:hint="eastAsia" w:ascii="宋体" w:hAnsi="宋体" w:cs="宋体"/>
                      <w:color w:val="auto"/>
                    </w:rPr>
                    <w:t>台</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r>
                    <w:rPr>
                      <w:rFonts w:ascii="宋体" w:hAnsi="宋体" w:cs="宋体"/>
                      <w:color w:val="auto"/>
                    </w:rPr>
                    <w:t>1</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913"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73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732"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right w:val="single" w:color="auto" w:sz="4" w:space="0"/>
                    <w:tl2br w:val="nil"/>
                    <w:tr2bl w:val="nil"/>
                  </w:tcBorders>
                  <w:vAlign w:val="center"/>
                </w:tcPr>
                <w:p>
                  <w:pPr>
                    <w:widowControl/>
                    <w:jc w:val="center"/>
                    <w:textAlignment w:val="center"/>
                  </w:pPr>
                </w:p>
              </w:tc>
            </w:tr>
            <w:tr>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lang w:val="en-US" w:eastAsia="zh-CN"/>
                    </w:rPr>
                  </w:pPr>
                  <w:r>
                    <w:rPr>
                      <w:rFonts w:hint="eastAsia" w:ascii="宋体" w:hAnsi="宋体" w:cs="宋体"/>
                      <w:color w:val="auto"/>
                    </w:rPr>
                    <w:t>1</w:t>
                  </w:r>
                  <w:r>
                    <w:rPr>
                      <w:rFonts w:hint="eastAsia" w:ascii="宋体" w:hAnsi="宋体" w:cs="宋体"/>
                      <w:color w:val="auto"/>
                      <w:lang w:val="en-US" w:eastAsia="zh-CN"/>
                    </w:rPr>
                    <w:t>6</w:t>
                  </w:r>
                </w:p>
              </w:tc>
              <w:tc>
                <w:tcPr>
                  <w:tcW w:w="167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color w:val="auto"/>
                    </w:rPr>
                  </w:pPr>
                  <w:r>
                    <w:rPr>
                      <w:rFonts w:hint="eastAsia" w:ascii="宋体" w:hAnsi="宋体" w:cs="宋体"/>
                      <w:color w:val="auto"/>
                    </w:rPr>
                    <w:t>盖梁模板</w:t>
                  </w:r>
                </w:p>
              </w:tc>
              <w:tc>
                <w:tcPr>
                  <w:tcW w:w="93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Cs w:val="21"/>
                    </w:rPr>
                  </w:pPr>
                </w:p>
              </w:tc>
              <w:tc>
                <w:tcPr>
                  <w:tcW w:w="7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color w:val="auto"/>
                    </w:rPr>
                  </w:pPr>
                  <w:r>
                    <w:rPr>
                      <w:rFonts w:hint="eastAsia" w:ascii="宋体" w:hAnsi="宋体" w:cs="宋体"/>
                      <w:color w:val="auto"/>
                    </w:rPr>
                    <w:t>套</w:t>
                  </w:r>
                </w:p>
              </w:tc>
              <w:tc>
                <w:tcPr>
                  <w:tcW w:w="96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cs="宋体"/>
                      <w:color w:val="auto"/>
                    </w:rPr>
                  </w:pPr>
                  <w:r>
                    <w:rPr>
                      <w:rFonts w:hint="eastAsia" w:ascii="宋体" w:hAnsi="宋体" w:cs="宋体"/>
                      <w:color w:val="auto"/>
                    </w:rPr>
                    <w:t>2</w:t>
                  </w:r>
                </w:p>
              </w:tc>
              <w:tc>
                <w:tcPr>
                  <w:tcW w:w="960"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913" w:type="dxa"/>
                  <w:tcBorders>
                    <w:top w:val="single" w:color="000000" w:sz="4" w:space="0"/>
                    <w:left w:val="single" w:color="auto" w:sz="4" w:space="0"/>
                    <w:bottom w:val="single" w:color="auto"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732"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pageBreakBefore w:val="0"/>
                    <w:widowControl/>
                    <w:numPr>
                      <w:ilvl w:val="255"/>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ascii="宋体" w:hAnsi="宋体" w:cs="宋体"/>
                      <w:color w:val="auto"/>
                      <w:sz w:val="20"/>
                      <w:szCs w:val="21"/>
                    </w:rPr>
                  </w:pPr>
                </w:p>
              </w:tc>
              <w:tc>
                <w:tcPr>
                  <w:tcW w:w="732" w:type="dxa"/>
                  <w:vMerge w:val="continue"/>
                  <w:tcBorders>
                    <w:left w:val="single" w:color="000000" w:sz="4" w:space="0"/>
                    <w:bottom w:val="single" w:color="auto" w:sz="4" w:space="0"/>
                    <w:right w:val="single" w:color="000000" w:sz="4" w:space="0"/>
                    <w:tl2br w:val="nil"/>
                    <w:tr2bl w:val="nil"/>
                  </w:tcBorders>
                  <w:vAlign w:val="center"/>
                </w:tcPr>
                <w:p>
                  <w:pPr>
                    <w:widowControl/>
                    <w:spacing w:line="260" w:lineRule="exact"/>
                    <w:ind w:right="5"/>
                    <w:jc w:val="center"/>
                    <w:textAlignment w:val="center"/>
                  </w:pPr>
                </w:p>
              </w:tc>
              <w:tc>
                <w:tcPr>
                  <w:tcW w:w="828" w:type="dxa"/>
                  <w:vMerge w:val="continue"/>
                  <w:tcBorders>
                    <w:left w:val="single" w:color="000000" w:sz="4" w:space="0"/>
                    <w:bottom w:val="single" w:color="auto" w:sz="4" w:space="0"/>
                    <w:right w:val="single" w:color="auto" w:sz="4" w:space="0"/>
                    <w:tl2br w:val="nil"/>
                    <w:tr2bl w:val="nil"/>
                  </w:tcBorders>
                  <w:vAlign w:val="center"/>
                </w:tcPr>
                <w:p>
                  <w:pPr>
                    <w:widowControl/>
                    <w:jc w:val="center"/>
                    <w:textAlignment w:val="center"/>
                  </w:pPr>
                </w:p>
              </w:tc>
            </w:tr>
          </w:tbl>
          <w:p>
            <w:pPr>
              <w:keepNext w:val="0"/>
              <w:keepLines w:val="0"/>
              <w:widowControl/>
              <w:numPr>
                <w:ilvl w:val="-1"/>
                <w:numId w:val="0"/>
              </w:numPr>
              <w:suppressLineNumbers w:val="0"/>
              <w:jc w:val="left"/>
              <w:textAlignment w:val="auto"/>
              <w:rPr>
                <w:rFonts w:hint="eastAsia"/>
                <w:color w:val="auto"/>
                <w:highlight w:val="none"/>
                <w:lang w:val="en-US" w:eastAsia="zh-CN"/>
              </w:rPr>
            </w:pPr>
          </w:p>
          <w:p>
            <w:pPr>
              <w:keepNext w:val="0"/>
              <w:keepLines w:val="0"/>
              <w:widowControl/>
              <w:numPr>
                <w:ilvl w:val="-1"/>
                <w:numId w:val="0"/>
              </w:numPr>
              <w:suppressLineNumbers w:val="0"/>
              <w:jc w:val="left"/>
              <w:textAlignment w:val="auto"/>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w:t>
            </w:r>
          </w:p>
          <w:p>
            <w:pPr>
              <w:keepNext w:val="0"/>
              <w:keepLines w:val="0"/>
              <w:widowControl/>
              <w:numPr>
                <w:ilvl w:val="-1"/>
                <w:numId w:val="0"/>
              </w:numPr>
              <w:suppressLineNumbers w:val="0"/>
              <w:jc w:val="left"/>
              <w:textAlignment w:val="auto"/>
              <w:rPr>
                <w:rFonts w:hint="eastAsia" w:ascii="宋体" w:hAnsi="宋体" w:cs="宋体"/>
                <w:color w:val="auto"/>
                <w:sz w:val="18"/>
                <w:szCs w:val="18"/>
                <w:highlight w:val="none"/>
              </w:rPr>
            </w:pPr>
            <w:r>
              <w:rPr>
                <w:rFonts w:hint="eastAsia" w:ascii="宋体" w:hAnsi="宋体" w:cs="宋体"/>
                <w:color w:val="auto"/>
                <w:sz w:val="18"/>
                <w:szCs w:val="18"/>
                <w:highlight w:val="none"/>
              </w:rPr>
              <w:t>招标人有权要求投标人增加。</w:t>
            </w:r>
          </w:p>
          <w:p>
            <w:pPr>
              <w:widowControl/>
              <w:numPr>
                <w:ilvl w:val="-1"/>
                <w:numId w:val="0"/>
              </w:numPr>
              <w:jc w:val="left"/>
              <w:textAlignment w:val="auto"/>
              <w:rPr>
                <w:rFonts w:hint="eastAsia" w:ascii="宋体" w:hAnsi="宋体" w:cs="宋体"/>
                <w:color w:val="auto"/>
                <w:kern w:val="0"/>
                <w:sz w:val="18"/>
                <w:szCs w:val="18"/>
                <w:highlight w:val="none"/>
                <w:u w:val="none"/>
                <w:lang w:val="en-US" w:eastAsia="zh-CN" w:bidi="ar"/>
              </w:rPr>
            </w:pPr>
            <w:r>
              <w:rPr>
                <w:rFonts w:hint="eastAsia"/>
                <w:color w:val="auto"/>
                <w:sz w:val="18"/>
                <w:szCs w:val="18"/>
                <w:highlight w:val="none"/>
                <w:lang w:val="en-US" w:eastAsia="zh-CN"/>
              </w:rPr>
              <w:t>2、本表中的总数量为承包人中标后向发包人承诺的投入最低设备要求，并以书面形式纳入合同附件。</w:t>
            </w:r>
          </w:p>
        </w:tc>
      </w:tr>
      <w:bookmarkEnd w:id="0"/>
      <w:bookmarkEnd w:id="1"/>
      <w:bookmarkEnd w:id="2"/>
      <w:bookmarkEnd w:id="3"/>
    </w:tbl>
    <w:p>
      <w:pPr>
        <w:pStyle w:val="2"/>
        <w:ind w:firstLine="0"/>
        <w:jc w:val="left"/>
        <w:rPr>
          <w:rFonts w:hint="default" w:ascii="仿宋" w:hAnsi="仿宋" w:eastAsia="仿宋" w:cs="仿宋"/>
          <w:i w:val="0"/>
          <w:caps w:val="0"/>
          <w:color w:val="auto"/>
          <w:spacing w:val="0"/>
          <w:sz w:val="28"/>
          <w:szCs w:val="28"/>
          <w:shd w:val="clear" w:fill="FFFFFF"/>
          <w:lang w:val="en-US" w:eastAsia="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roman"/>
    <w:pitch w:val="default"/>
    <w:sig w:usb0="E0000AFF" w:usb1="00007843" w:usb2="00000001" w:usb3="00000000" w:csb0="400001BF" w:csb1="DFF70000"/>
    <w:embedRegular r:id="rId1" w:fontKey="{B2458E32-68B2-836F-5090-176254B3FD91}"/>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Microsoft JhengHei">
    <w:altName w:val="汉仪中简黑简"/>
    <w:panose1 w:val="020B0604030504040204"/>
    <w:charset w:val="88"/>
    <w:family w:val="swiss"/>
    <w:pitch w:val="default"/>
    <w:sig w:usb0="00000000" w:usb1="00000000" w:usb2="00000016" w:usb3="00000000" w:csb0="00100009" w:csb1="00000000"/>
  </w:font>
  <w:font w:name="仿宋">
    <w:altName w:val="方正仿宋_GBK"/>
    <w:panose1 w:val="02010609060101010101"/>
    <w:charset w:val="86"/>
    <w:family w:val="auto"/>
    <w:pitch w:val="default"/>
    <w:sig w:usb0="00000000" w:usb1="00000000" w:usb2="00000016" w:usb3="00000000" w:csb0="00040001" w:csb1="00000000"/>
    <w:embedRegular r:id="rId2" w:fontKey="{F8B8FA22-55F8-3AC5-5090-1762DE9D87AB}"/>
  </w:font>
  <w:font w:name="方正楷体简体">
    <w:altName w:val="苹方-简"/>
    <w:panose1 w:val="00000000000000000000"/>
    <w:charset w:val="86"/>
    <w:family w:val="auto"/>
    <w:pitch w:val="default"/>
    <w:sig w:usb0="00000000" w:usb1="00000000" w:usb2="00000010" w:usb3="00000000" w:csb0="00040000" w:csb1="00000000"/>
  </w:font>
  <w:font w:name="方正魏碑简体">
    <w:altName w:val="苹方-简"/>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15"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M+L3UTQAAAAAgEAAA8AAAAAAAAAAQAgAAAAOAAAAGRycy9kb3du&#10;cmV2LnhtbFBLAQIUABQAAAAIAIdO4kDO97z58QEAALcDAAAOAAAAAAAAAAEAIAAAADU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DOqXm5zwAAAAUBAAAPAAAAAAAAAAEAIAAAADgAAABkcnMvZG93bnJldi54&#10;bWxQSwECFAAUAAAACACHTuJAaWkFCu0BAAC6AwAADgAAAAAAAAABACAAAAA0AQAAZHJzL2Uyb0Rv&#10;Yy54bWxQSwUGAAAAAAYABgBZAQAAkw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02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6192;mso-width-relative:page;mso-height-relative:page;" coordorigin="1104,1111" coordsize="9338,2" o:gfxdata="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WAAAAZHJzL1BLAQIUABQAAAAIAIdO4kDEykW62QAA&#10;AAwBAAAPAAAAAAAAAAEAIAAAADgAAABkcnMvZG93bnJldi54bWxQSwECFAAUAAAACACHTuJAnAUy&#10;1XkCAAB/BQAADgAAAAAAAAABACAAAAA+AQAAZHJzL2Uyb0RvYy54bWxQSwUGAAAAAAYABgBZAQAA&#10;KQYAAAAA&#10;">
              <o:lock v:ext="edit" aspectratio="f"/>
              <v:shape id="任意多边形 1" o:spid="_x0000_s1026" o:spt="100" style="position:absolute;left:1104;top:1111;height:2;width:9338;" filled="f" stroked="t" coordsize="9338,1" o:gfxdata="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tZwEO7AAAA2gAAAA8AAAAAAAAAAQAgAAAAOAAAAGRycy9kb3ducmV2Lnht&#10;bFBLAQIUABQAAAAIAIdO4kAzLwWeOwAAADkAAAAQAAAAAAAAAAEAIAAAACABAABkcnMvc2hhcGV4&#10;bWwueG1sUEsFBgAAAAAGAAYAWwEAAMoDA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5168;mso-width-relative:page;mso-height-relative:page;" filled="f" stroked="f" coordsize="21600,21600" o:gfxdata="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p0e1NgAAAAKAQAADwAAAAAAAAABACAAAAA4AAAAZHJzL2Rvd25yZXYueG1sUEsBAhQA&#10;FAAAAAgAh07iQGyHHoujAQAAMgMAAA4AAAAAAAAAAQAgAAAAPQEAAGRycy9lMm9Eb2MueG1sUEsF&#10;BgAAAAAGAAYAWQEAAFI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7N3/IdkAAAAKAQAADwAAAAAAAAABACAAAAA4AAAAZHJzL2Rvd25yZXYueG1sUEsBAhQA&#10;FAAAAAgAh07iQFqPATuiAQAAMgMAAA4AAAAAAAAAAQAgAAAAPgEAAGRycy9lMm9Eb2MueG1sUEsF&#10;BgAAAAAGAAYAWQEAAFI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val="1"/>
  <w:embedTrueTypeFonts/>
  <w:saveSubsetFonts/>
  <w:bordersDoNotSurroundHeader w:val="0"/>
  <w:bordersDoNotSurroundFooter w:val="0"/>
  <w:hideSpellingErrors/>
  <w:documentProtection w:enforcement="0"/>
  <w:defaultTabStop w:val="720"/>
  <w:drawingGridHorizontalSpacing w:val="210"/>
  <w:drawingGridVerticalSpacing w:val="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4B37A2"/>
    <w:rsid w:val="02E718AC"/>
    <w:rsid w:val="034278EB"/>
    <w:rsid w:val="034362AF"/>
    <w:rsid w:val="036478D0"/>
    <w:rsid w:val="03722D3D"/>
    <w:rsid w:val="03EF34BA"/>
    <w:rsid w:val="04141433"/>
    <w:rsid w:val="043A09CE"/>
    <w:rsid w:val="04875E2C"/>
    <w:rsid w:val="04964555"/>
    <w:rsid w:val="04CB6A7F"/>
    <w:rsid w:val="050D4A7D"/>
    <w:rsid w:val="051677EF"/>
    <w:rsid w:val="051A52E2"/>
    <w:rsid w:val="05407A85"/>
    <w:rsid w:val="057B26D7"/>
    <w:rsid w:val="059277A1"/>
    <w:rsid w:val="05950823"/>
    <w:rsid w:val="05AE3F52"/>
    <w:rsid w:val="05B4006A"/>
    <w:rsid w:val="05CA6B61"/>
    <w:rsid w:val="05D42EBD"/>
    <w:rsid w:val="05DE56DE"/>
    <w:rsid w:val="05EF79DE"/>
    <w:rsid w:val="05F90419"/>
    <w:rsid w:val="06081FC2"/>
    <w:rsid w:val="064C04F8"/>
    <w:rsid w:val="067A0D04"/>
    <w:rsid w:val="068E2FCE"/>
    <w:rsid w:val="06B07422"/>
    <w:rsid w:val="06C97B07"/>
    <w:rsid w:val="070332AF"/>
    <w:rsid w:val="070C5B8C"/>
    <w:rsid w:val="07173A6F"/>
    <w:rsid w:val="07410DB8"/>
    <w:rsid w:val="07571870"/>
    <w:rsid w:val="079265B8"/>
    <w:rsid w:val="079724B8"/>
    <w:rsid w:val="07B33DA1"/>
    <w:rsid w:val="07C25EE3"/>
    <w:rsid w:val="07DB2932"/>
    <w:rsid w:val="08017DDF"/>
    <w:rsid w:val="081C6B1F"/>
    <w:rsid w:val="0870272B"/>
    <w:rsid w:val="0871052C"/>
    <w:rsid w:val="08BD6632"/>
    <w:rsid w:val="08E163AA"/>
    <w:rsid w:val="08F475C4"/>
    <w:rsid w:val="090E4678"/>
    <w:rsid w:val="09223BDF"/>
    <w:rsid w:val="094602D0"/>
    <w:rsid w:val="095F1405"/>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E80021"/>
    <w:rsid w:val="0CFE00F2"/>
    <w:rsid w:val="0D23326F"/>
    <w:rsid w:val="0D297920"/>
    <w:rsid w:val="0D4B4161"/>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7455B4"/>
    <w:rsid w:val="0F9619D4"/>
    <w:rsid w:val="0F9C0A77"/>
    <w:rsid w:val="0FB26F8D"/>
    <w:rsid w:val="0FC609F3"/>
    <w:rsid w:val="103861BE"/>
    <w:rsid w:val="10484DFE"/>
    <w:rsid w:val="106614A1"/>
    <w:rsid w:val="1089445F"/>
    <w:rsid w:val="10D6493B"/>
    <w:rsid w:val="10F05345"/>
    <w:rsid w:val="111446E3"/>
    <w:rsid w:val="113B1C0C"/>
    <w:rsid w:val="1191016A"/>
    <w:rsid w:val="11995EC3"/>
    <w:rsid w:val="11AF06E1"/>
    <w:rsid w:val="11C218A5"/>
    <w:rsid w:val="11D41E16"/>
    <w:rsid w:val="11E06AF2"/>
    <w:rsid w:val="11F200D9"/>
    <w:rsid w:val="12140B44"/>
    <w:rsid w:val="123020E5"/>
    <w:rsid w:val="125127A7"/>
    <w:rsid w:val="125562F9"/>
    <w:rsid w:val="12F27ABD"/>
    <w:rsid w:val="130F32A6"/>
    <w:rsid w:val="1346403B"/>
    <w:rsid w:val="136C297F"/>
    <w:rsid w:val="1380199B"/>
    <w:rsid w:val="138832C0"/>
    <w:rsid w:val="139C70BD"/>
    <w:rsid w:val="139D6A6E"/>
    <w:rsid w:val="13A837AA"/>
    <w:rsid w:val="13BE1BF5"/>
    <w:rsid w:val="13DE1E9F"/>
    <w:rsid w:val="13EB01A5"/>
    <w:rsid w:val="140B4AAA"/>
    <w:rsid w:val="146F3F04"/>
    <w:rsid w:val="14902CDE"/>
    <w:rsid w:val="14AD1CC9"/>
    <w:rsid w:val="14CC3097"/>
    <w:rsid w:val="15441F95"/>
    <w:rsid w:val="15562250"/>
    <w:rsid w:val="15592E08"/>
    <w:rsid w:val="156B6FF0"/>
    <w:rsid w:val="15760107"/>
    <w:rsid w:val="15941049"/>
    <w:rsid w:val="15944091"/>
    <w:rsid w:val="15965061"/>
    <w:rsid w:val="15C04CD1"/>
    <w:rsid w:val="15DD4643"/>
    <w:rsid w:val="15E05A3B"/>
    <w:rsid w:val="162048CA"/>
    <w:rsid w:val="163E291C"/>
    <w:rsid w:val="16503E01"/>
    <w:rsid w:val="165528D8"/>
    <w:rsid w:val="165F6B34"/>
    <w:rsid w:val="16995E37"/>
    <w:rsid w:val="16A86D68"/>
    <w:rsid w:val="16C97346"/>
    <w:rsid w:val="16FE3947"/>
    <w:rsid w:val="1703535A"/>
    <w:rsid w:val="171522DC"/>
    <w:rsid w:val="17666F98"/>
    <w:rsid w:val="177259D8"/>
    <w:rsid w:val="17B079CF"/>
    <w:rsid w:val="182714AF"/>
    <w:rsid w:val="185F6743"/>
    <w:rsid w:val="18762173"/>
    <w:rsid w:val="18A92F77"/>
    <w:rsid w:val="18B41D6A"/>
    <w:rsid w:val="18B92B6D"/>
    <w:rsid w:val="18BB4412"/>
    <w:rsid w:val="18D746B5"/>
    <w:rsid w:val="193C5A11"/>
    <w:rsid w:val="194A2CAF"/>
    <w:rsid w:val="196A0FB4"/>
    <w:rsid w:val="19785AED"/>
    <w:rsid w:val="197A0DA0"/>
    <w:rsid w:val="19F1590B"/>
    <w:rsid w:val="19FC5172"/>
    <w:rsid w:val="1A0E71DA"/>
    <w:rsid w:val="1AB4317D"/>
    <w:rsid w:val="1AF03522"/>
    <w:rsid w:val="1AF51BBE"/>
    <w:rsid w:val="1B07676B"/>
    <w:rsid w:val="1B3640C9"/>
    <w:rsid w:val="1B384EC8"/>
    <w:rsid w:val="1B46547E"/>
    <w:rsid w:val="1B72237C"/>
    <w:rsid w:val="1BB21980"/>
    <w:rsid w:val="1BBB6A09"/>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C80C51"/>
    <w:rsid w:val="1DFC54FF"/>
    <w:rsid w:val="1E0F6013"/>
    <w:rsid w:val="1E373452"/>
    <w:rsid w:val="1E4A0038"/>
    <w:rsid w:val="1E8B211B"/>
    <w:rsid w:val="1E917DAA"/>
    <w:rsid w:val="1EAC6FC0"/>
    <w:rsid w:val="1EC01569"/>
    <w:rsid w:val="1EDF11CD"/>
    <w:rsid w:val="1EE01851"/>
    <w:rsid w:val="1F4C5F8E"/>
    <w:rsid w:val="1F4C6A60"/>
    <w:rsid w:val="1F5F45F6"/>
    <w:rsid w:val="1F6E44D2"/>
    <w:rsid w:val="1F9D0803"/>
    <w:rsid w:val="1FD44AF3"/>
    <w:rsid w:val="1FE44339"/>
    <w:rsid w:val="1FF23782"/>
    <w:rsid w:val="20162717"/>
    <w:rsid w:val="20581546"/>
    <w:rsid w:val="20583DCF"/>
    <w:rsid w:val="20A124BD"/>
    <w:rsid w:val="20E92668"/>
    <w:rsid w:val="20EA64A4"/>
    <w:rsid w:val="20FC7DFE"/>
    <w:rsid w:val="21194890"/>
    <w:rsid w:val="2122760F"/>
    <w:rsid w:val="21884239"/>
    <w:rsid w:val="21A007BF"/>
    <w:rsid w:val="21E12D84"/>
    <w:rsid w:val="21E51176"/>
    <w:rsid w:val="21EB20CB"/>
    <w:rsid w:val="224937CC"/>
    <w:rsid w:val="22615C33"/>
    <w:rsid w:val="22BF2D49"/>
    <w:rsid w:val="22E4104D"/>
    <w:rsid w:val="23127A43"/>
    <w:rsid w:val="23153797"/>
    <w:rsid w:val="231F5991"/>
    <w:rsid w:val="231F6E49"/>
    <w:rsid w:val="23445BB6"/>
    <w:rsid w:val="2349616C"/>
    <w:rsid w:val="235C7A0D"/>
    <w:rsid w:val="236F6297"/>
    <w:rsid w:val="238D6B2D"/>
    <w:rsid w:val="23953D1A"/>
    <w:rsid w:val="23E67390"/>
    <w:rsid w:val="23EB62F0"/>
    <w:rsid w:val="24053E71"/>
    <w:rsid w:val="2428404E"/>
    <w:rsid w:val="24585BD5"/>
    <w:rsid w:val="246048C0"/>
    <w:rsid w:val="249A5D88"/>
    <w:rsid w:val="24EE11EF"/>
    <w:rsid w:val="24F01C1E"/>
    <w:rsid w:val="252E69F7"/>
    <w:rsid w:val="257C203E"/>
    <w:rsid w:val="258C074F"/>
    <w:rsid w:val="25EE2635"/>
    <w:rsid w:val="25F0208A"/>
    <w:rsid w:val="25FD3FF1"/>
    <w:rsid w:val="26417780"/>
    <w:rsid w:val="268417EF"/>
    <w:rsid w:val="268C5E25"/>
    <w:rsid w:val="26A541E9"/>
    <w:rsid w:val="26A71447"/>
    <w:rsid w:val="26CE5DD7"/>
    <w:rsid w:val="270D5649"/>
    <w:rsid w:val="2714504D"/>
    <w:rsid w:val="27280F12"/>
    <w:rsid w:val="2737614D"/>
    <w:rsid w:val="277350CB"/>
    <w:rsid w:val="27805EFB"/>
    <w:rsid w:val="27917BF1"/>
    <w:rsid w:val="27B30CD5"/>
    <w:rsid w:val="27DF258E"/>
    <w:rsid w:val="28071DA7"/>
    <w:rsid w:val="28360677"/>
    <w:rsid w:val="28801DAF"/>
    <w:rsid w:val="28895448"/>
    <w:rsid w:val="28A8449C"/>
    <w:rsid w:val="28AF720C"/>
    <w:rsid w:val="28C248C5"/>
    <w:rsid w:val="28EA1411"/>
    <w:rsid w:val="29085CE3"/>
    <w:rsid w:val="291875D1"/>
    <w:rsid w:val="295236BE"/>
    <w:rsid w:val="295E5289"/>
    <w:rsid w:val="29707129"/>
    <w:rsid w:val="29C244A8"/>
    <w:rsid w:val="29D821A5"/>
    <w:rsid w:val="29E62C14"/>
    <w:rsid w:val="2A716B8F"/>
    <w:rsid w:val="2AE44AA2"/>
    <w:rsid w:val="2B113DE4"/>
    <w:rsid w:val="2B384040"/>
    <w:rsid w:val="2B9E3DC9"/>
    <w:rsid w:val="2BAA4834"/>
    <w:rsid w:val="2BAD2E75"/>
    <w:rsid w:val="2BAF20A7"/>
    <w:rsid w:val="2BC83A75"/>
    <w:rsid w:val="2BD83532"/>
    <w:rsid w:val="2BDB10CE"/>
    <w:rsid w:val="2BEE4DC6"/>
    <w:rsid w:val="2C2A533E"/>
    <w:rsid w:val="2C3D2FE9"/>
    <w:rsid w:val="2C424BBA"/>
    <w:rsid w:val="2C8944B6"/>
    <w:rsid w:val="2C9A11D1"/>
    <w:rsid w:val="2CB46690"/>
    <w:rsid w:val="2CE33A79"/>
    <w:rsid w:val="2CE346C3"/>
    <w:rsid w:val="2CE90ED2"/>
    <w:rsid w:val="2CEC114E"/>
    <w:rsid w:val="2CF27F88"/>
    <w:rsid w:val="2D425430"/>
    <w:rsid w:val="2D78124C"/>
    <w:rsid w:val="2D922C94"/>
    <w:rsid w:val="2DC115AC"/>
    <w:rsid w:val="2DDB6FEC"/>
    <w:rsid w:val="2E04559A"/>
    <w:rsid w:val="2E12779E"/>
    <w:rsid w:val="2E251A45"/>
    <w:rsid w:val="2E4076B1"/>
    <w:rsid w:val="2E4B2579"/>
    <w:rsid w:val="2ECD1C57"/>
    <w:rsid w:val="2ECE01E6"/>
    <w:rsid w:val="2F825F9E"/>
    <w:rsid w:val="2FC43E60"/>
    <w:rsid w:val="2FD24B0B"/>
    <w:rsid w:val="30066B4C"/>
    <w:rsid w:val="303F6D0C"/>
    <w:rsid w:val="30750BB0"/>
    <w:rsid w:val="30B907BF"/>
    <w:rsid w:val="30B9490A"/>
    <w:rsid w:val="30EF5607"/>
    <w:rsid w:val="31017925"/>
    <w:rsid w:val="3159016F"/>
    <w:rsid w:val="31655D79"/>
    <w:rsid w:val="31853DAB"/>
    <w:rsid w:val="319054FC"/>
    <w:rsid w:val="31A06A8B"/>
    <w:rsid w:val="31B203FE"/>
    <w:rsid w:val="31C317C9"/>
    <w:rsid w:val="31CC17DD"/>
    <w:rsid w:val="31F97FD8"/>
    <w:rsid w:val="32016C0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4131012"/>
    <w:rsid w:val="34171487"/>
    <w:rsid w:val="342E2B39"/>
    <w:rsid w:val="343C4A89"/>
    <w:rsid w:val="343D7BFD"/>
    <w:rsid w:val="34460FFB"/>
    <w:rsid w:val="349614CB"/>
    <w:rsid w:val="34B833F0"/>
    <w:rsid w:val="34C51938"/>
    <w:rsid w:val="34D66E8F"/>
    <w:rsid w:val="34DA608C"/>
    <w:rsid w:val="34DD7E01"/>
    <w:rsid w:val="350B3235"/>
    <w:rsid w:val="3514279B"/>
    <w:rsid w:val="351B1A28"/>
    <w:rsid w:val="35265E42"/>
    <w:rsid w:val="353815FD"/>
    <w:rsid w:val="357556C8"/>
    <w:rsid w:val="357D79D8"/>
    <w:rsid w:val="3590142B"/>
    <w:rsid w:val="35BF3545"/>
    <w:rsid w:val="35F35C56"/>
    <w:rsid w:val="36033DC5"/>
    <w:rsid w:val="3610397A"/>
    <w:rsid w:val="3634678A"/>
    <w:rsid w:val="36383EE1"/>
    <w:rsid w:val="369345B2"/>
    <w:rsid w:val="36C16728"/>
    <w:rsid w:val="36C57B9D"/>
    <w:rsid w:val="370246D3"/>
    <w:rsid w:val="370E06BA"/>
    <w:rsid w:val="37490C7F"/>
    <w:rsid w:val="37557342"/>
    <w:rsid w:val="37825166"/>
    <w:rsid w:val="37865704"/>
    <w:rsid w:val="37AA374C"/>
    <w:rsid w:val="38024E33"/>
    <w:rsid w:val="38076476"/>
    <w:rsid w:val="380C2DC6"/>
    <w:rsid w:val="381146C9"/>
    <w:rsid w:val="383F1630"/>
    <w:rsid w:val="3842120B"/>
    <w:rsid w:val="38D12AAE"/>
    <w:rsid w:val="38E878ED"/>
    <w:rsid w:val="38EA74FD"/>
    <w:rsid w:val="391E51DB"/>
    <w:rsid w:val="39786BF2"/>
    <w:rsid w:val="39B73512"/>
    <w:rsid w:val="39BA7F61"/>
    <w:rsid w:val="39E214EC"/>
    <w:rsid w:val="3A04319F"/>
    <w:rsid w:val="3A270FB8"/>
    <w:rsid w:val="3A283C9D"/>
    <w:rsid w:val="3A355AA0"/>
    <w:rsid w:val="3A5F78FB"/>
    <w:rsid w:val="3A875EF9"/>
    <w:rsid w:val="3A9A5DA6"/>
    <w:rsid w:val="3AB14EB1"/>
    <w:rsid w:val="3AEE18AA"/>
    <w:rsid w:val="3B032819"/>
    <w:rsid w:val="3B0A2777"/>
    <w:rsid w:val="3B4548DF"/>
    <w:rsid w:val="3C17127B"/>
    <w:rsid w:val="3C197B04"/>
    <w:rsid w:val="3C28504A"/>
    <w:rsid w:val="3C5C0E29"/>
    <w:rsid w:val="3C6F6546"/>
    <w:rsid w:val="3C8F53AF"/>
    <w:rsid w:val="3CA9417D"/>
    <w:rsid w:val="3CDC6249"/>
    <w:rsid w:val="3CDE4C67"/>
    <w:rsid w:val="3D05175A"/>
    <w:rsid w:val="3D143897"/>
    <w:rsid w:val="3D210766"/>
    <w:rsid w:val="3D2A11F8"/>
    <w:rsid w:val="3D3F1B8E"/>
    <w:rsid w:val="3D47386D"/>
    <w:rsid w:val="3D624906"/>
    <w:rsid w:val="3D81154C"/>
    <w:rsid w:val="3D817D30"/>
    <w:rsid w:val="3D870E3E"/>
    <w:rsid w:val="3D967682"/>
    <w:rsid w:val="3DA2491D"/>
    <w:rsid w:val="3DA37453"/>
    <w:rsid w:val="3DAD4E44"/>
    <w:rsid w:val="3E357C4C"/>
    <w:rsid w:val="3E440B40"/>
    <w:rsid w:val="3E6B0A4A"/>
    <w:rsid w:val="3E75669F"/>
    <w:rsid w:val="3E8079D8"/>
    <w:rsid w:val="3E822F47"/>
    <w:rsid w:val="3E89692C"/>
    <w:rsid w:val="3E8B6DF4"/>
    <w:rsid w:val="3EAC493F"/>
    <w:rsid w:val="3ED62FA3"/>
    <w:rsid w:val="3ED93986"/>
    <w:rsid w:val="3F07647B"/>
    <w:rsid w:val="3F2B45D1"/>
    <w:rsid w:val="3F3144B1"/>
    <w:rsid w:val="3F4E359F"/>
    <w:rsid w:val="3F5C3EA3"/>
    <w:rsid w:val="3F692609"/>
    <w:rsid w:val="3F7F3352"/>
    <w:rsid w:val="3F970547"/>
    <w:rsid w:val="3FAF3DDC"/>
    <w:rsid w:val="3FDB7A9D"/>
    <w:rsid w:val="3FF25E78"/>
    <w:rsid w:val="40275D83"/>
    <w:rsid w:val="402D4028"/>
    <w:rsid w:val="40424E24"/>
    <w:rsid w:val="406A2185"/>
    <w:rsid w:val="40A25FF6"/>
    <w:rsid w:val="4145515D"/>
    <w:rsid w:val="416500CC"/>
    <w:rsid w:val="41843588"/>
    <w:rsid w:val="418E3FF7"/>
    <w:rsid w:val="41AD06CE"/>
    <w:rsid w:val="41BC6356"/>
    <w:rsid w:val="41C8325D"/>
    <w:rsid w:val="41F406CA"/>
    <w:rsid w:val="41F7672F"/>
    <w:rsid w:val="42054356"/>
    <w:rsid w:val="42267DD7"/>
    <w:rsid w:val="42663652"/>
    <w:rsid w:val="426A54A3"/>
    <w:rsid w:val="42C4415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E7814"/>
    <w:rsid w:val="449A2059"/>
    <w:rsid w:val="44B0658B"/>
    <w:rsid w:val="44CD5A3F"/>
    <w:rsid w:val="44D516EE"/>
    <w:rsid w:val="455F0E66"/>
    <w:rsid w:val="45626C4F"/>
    <w:rsid w:val="456A6E0F"/>
    <w:rsid w:val="457A599C"/>
    <w:rsid w:val="45BB5814"/>
    <w:rsid w:val="45DA0E86"/>
    <w:rsid w:val="4610765D"/>
    <w:rsid w:val="461D6E7A"/>
    <w:rsid w:val="46240420"/>
    <w:rsid w:val="462F48A7"/>
    <w:rsid w:val="46540F39"/>
    <w:rsid w:val="467956F8"/>
    <w:rsid w:val="46A05F81"/>
    <w:rsid w:val="46D9057E"/>
    <w:rsid w:val="46FB198D"/>
    <w:rsid w:val="4706116E"/>
    <w:rsid w:val="473113E0"/>
    <w:rsid w:val="47456100"/>
    <w:rsid w:val="477A6F6B"/>
    <w:rsid w:val="478B347D"/>
    <w:rsid w:val="480E0A81"/>
    <w:rsid w:val="48333627"/>
    <w:rsid w:val="48490DA6"/>
    <w:rsid w:val="485E4D7E"/>
    <w:rsid w:val="4886384B"/>
    <w:rsid w:val="488D7CFD"/>
    <w:rsid w:val="48C418C2"/>
    <w:rsid w:val="48DD3095"/>
    <w:rsid w:val="49107D77"/>
    <w:rsid w:val="494E1EB4"/>
    <w:rsid w:val="496E6638"/>
    <w:rsid w:val="49744E2A"/>
    <w:rsid w:val="497965F4"/>
    <w:rsid w:val="497C2F4B"/>
    <w:rsid w:val="49BB065D"/>
    <w:rsid w:val="49FC189B"/>
    <w:rsid w:val="4A0369C7"/>
    <w:rsid w:val="4A3261E7"/>
    <w:rsid w:val="4A6A5847"/>
    <w:rsid w:val="4AA3589F"/>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624D7C"/>
    <w:rsid w:val="4DA613A2"/>
    <w:rsid w:val="4DA85876"/>
    <w:rsid w:val="4DDE6C92"/>
    <w:rsid w:val="4DF11888"/>
    <w:rsid w:val="4DF6643F"/>
    <w:rsid w:val="4DFF215A"/>
    <w:rsid w:val="4E565EA6"/>
    <w:rsid w:val="4E764E55"/>
    <w:rsid w:val="4E990636"/>
    <w:rsid w:val="4F013597"/>
    <w:rsid w:val="4F105125"/>
    <w:rsid w:val="4F37744A"/>
    <w:rsid w:val="4F3B42D5"/>
    <w:rsid w:val="4F403077"/>
    <w:rsid w:val="4FAB4D2C"/>
    <w:rsid w:val="4FBA1889"/>
    <w:rsid w:val="4FDA224F"/>
    <w:rsid w:val="4FED2DDF"/>
    <w:rsid w:val="4FEF7AEE"/>
    <w:rsid w:val="50095726"/>
    <w:rsid w:val="508A1C09"/>
    <w:rsid w:val="50A00E0A"/>
    <w:rsid w:val="50BB08FC"/>
    <w:rsid w:val="50C2022F"/>
    <w:rsid w:val="50C22D60"/>
    <w:rsid w:val="512F3500"/>
    <w:rsid w:val="513348AF"/>
    <w:rsid w:val="513C653B"/>
    <w:rsid w:val="513D4B79"/>
    <w:rsid w:val="51433690"/>
    <w:rsid w:val="514A73C8"/>
    <w:rsid w:val="51B2563A"/>
    <w:rsid w:val="51C42A53"/>
    <w:rsid w:val="51D46736"/>
    <w:rsid w:val="521B4666"/>
    <w:rsid w:val="52254821"/>
    <w:rsid w:val="52735112"/>
    <w:rsid w:val="52754561"/>
    <w:rsid w:val="52845D51"/>
    <w:rsid w:val="528D06DC"/>
    <w:rsid w:val="52D617C8"/>
    <w:rsid w:val="52FE0DB8"/>
    <w:rsid w:val="53161B10"/>
    <w:rsid w:val="53373072"/>
    <w:rsid w:val="53695580"/>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AE4488"/>
    <w:rsid w:val="55E0595B"/>
    <w:rsid w:val="56010107"/>
    <w:rsid w:val="560B0A66"/>
    <w:rsid w:val="561E3D77"/>
    <w:rsid w:val="569620E6"/>
    <w:rsid w:val="569F1D2D"/>
    <w:rsid w:val="56A54DB1"/>
    <w:rsid w:val="56AD5142"/>
    <w:rsid w:val="56E35BB8"/>
    <w:rsid w:val="56E81E5B"/>
    <w:rsid w:val="56F9628E"/>
    <w:rsid w:val="56FA5717"/>
    <w:rsid w:val="57365F3B"/>
    <w:rsid w:val="57586B75"/>
    <w:rsid w:val="57C71611"/>
    <w:rsid w:val="58240A08"/>
    <w:rsid w:val="583F18BE"/>
    <w:rsid w:val="58435AD6"/>
    <w:rsid w:val="58621E13"/>
    <w:rsid w:val="58AA7C16"/>
    <w:rsid w:val="58B227FB"/>
    <w:rsid w:val="58B40BCA"/>
    <w:rsid w:val="59577238"/>
    <w:rsid w:val="595D1F94"/>
    <w:rsid w:val="59687C50"/>
    <w:rsid w:val="596A54EC"/>
    <w:rsid w:val="5979268D"/>
    <w:rsid w:val="59A230C3"/>
    <w:rsid w:val="59A31549"/>
    <w:rsid w:val="59B00B61"/>
    <w:rsid w:val="59CB6E88"/>
    <w:rsid w:val="5A2B5655"/>
    <w:rsid w:val="5A42047A"/>
    <w:rsid w:val="5A4546CC"/>
    <w:rsid w:val="5A483229"/>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A51863"/>
    <w:rsid w:val="5EC027E7"/>
    <w:rsid w:val="5EE7529C"/>
    <w:rsid w:val="5F0D04C3"/>
    <w:rsid w:val="5F3B26AA"/>
    <w:rsid w:val="5F4B4BE4"/>
    <w:rsid w:val="5F625880"/>
    <w:rsid w:val="5F836630"/>
    <w:rsid w:val="5FB14CFA"/>
    <w:rsid w:val="5FBF0852"/>
    <w:rsid w:val="5FC92450"/>
    <w:rsid w:val="5FD15E6D"/>
    <w:rsid w:val="5FE8255B"/>
    <w:rsid w:val="5FFB4629"/>
    <w:rsid w:val="600A7A52"/>
    <w:rsid w:val="602077B4"/>
    <w:rsid w:val="60225B1F"/>
    <w:rsid w:val="60746053"/>
    <w:rsid w:val="609B762B"/>
    <w:rsid w:val="60EA4BBC"/>
    <w:rsid w:val="611F78E2"/>
    <w:rsid w:val="617A3F41"/>
    <w:rsid w:val="61C613E2"/>
    <w:rsid w:val="61CC6C53"/>
    <w:rsid w:val="620A7A2F"/>
    <w:rsid w:val="6210299D"/>
    <w:rsid w:val="62182EC6"/>
    <w:rsid w:val="621A37C8"/>
    <w:rsid w:val="628F5278"/>
    <w:rsid w:val="62B15464"/>
    <w:rsid w:val="62CF13EC"/>
    <w:rsid w:val="62D34586"/>
    <w:rsid w:val="62F80A91"/>
    <w:rsid w:val="6317039A"/>
    <w:rsid w:val="633B7E2D"/>
    <w:rsid w:val="636F20AE"/>
    <w:rsid w:val="637D06EB"/>
    <w:rsid w:val="63AC0D80"/>
    <w:rsid w:val="63E108E5"/>
    <w:rsid w:val="63F43FAB"/>
    <w:rsid w:val="64186569"/>
    <w:rsid w:val="64285483"/>
    <w:rsid w:val="64381A78"/>
    <w:rsid w:val="64F753A2"/>
    <w:rsid w:val="653827A3"/>
    <w:rsid w:val="654F060F"/>
    <w:rsid w:val="65585701"/>
    <w:rsid w:val="6571508C"/>
    <w:rsid w:val="65AC62AE"/>
    <w:rsid w:val="65D50F90"/>
    <w:rsid w:val="65D85914"/>
    <w:rsid w:val="65E77512"/>
    <w:rsid w:val="66056572"/>
    <w:rsid w:val="661F0A0E"/>
    <w:rsid w:val="665A3237"/>
    <w:rsid w:val="66630770"/>
    <w:rsid w:val="669D679D"/>
    <w:rsid w:val="66CB5B00"/>
    <w:rsid w:val="66FD35E0"/>
    <w:rsid w:val="672322B0"/>
    <w:rsid w:val="675C2325"/>
    <w:rsid w:val="676D7B4D"/>
    <w:rsid w:val="6780313F"/>
    <w:rsid w:val="67854F9D"/>
    <w:rsid w:val="67977D4E"/>
    <w:rsid w:val="67A30CA6"/>
    <w:rsid w:val="67B3508B"/>
    <w:rsid w:val="67BE5505"/>
    <w:rsid w:val="67CD6690"/>
    <w:rsid w:val="67F36971"/>
    <w:rsid w:val="681413FA"/>
    <w:rsid w:val="68163F31"/>
    <w:rsid w:val="68635E7D"/>
    <w:rsid w:val="68734F58"/>
    <w:rsid w:val="687C3BE0"/>
    <w:rsid w:val="687F2AF8"/>
    <w:rsid w:val="6890039C"/>
    <w:rsid w:val="68AB076E"/>
    <w:rsid w:val="68D87B66"/>
    <w:rsid w:val="68EB6974"/>
    <w:rsid w:val="691927AE"/>
    <w:rsid w:val="691B391F"/>
    <w:rsid w:val="69617D60"/>
    <w:rsid w:val="69687412"/>
    <w:rsid w:val="696C1A28"/>
    <w:rsid w:val="69916362"/>
    <w:rsid w:val="699B73A8"/>
    <w:rsid w:val="69E50E08"/>
    <w:rsid w:val="69FE6806"/>
    <w:rsid w:val="6A0404A9"/>
    <w:rsid w:val="6A531FDE"/>
    <w:rsid w:val="6A6F611E"/>
    <w:rsid w:val="6A827B75"/>
    <w:rsid w:val="6A840BC2"/>
    <w:rsid w:val="6A906CC0"/>
    <w:rsid w:val="6A9F5EAD"/>
    <w:rsid w:val="6ABE7662"/>
    <w:rsid w:val="6ACD410B"/>
    <w:rsid w:val="6AE03838"/>
    <w:rsid w:val="6AFB29E5"/>
    <w:rsid w:val="6B07227F"/>
    <w:rsid w:val="6B2B7E15"/>
    <w:rsid w:val="6B457993"/>
    <w:rsid w:val="6B722496"/>
    <w:rsid w:val="6B837AC6"/>
    <w:rsid w:val="6B89131A"/>
    <w:rsid w:val="6B8F7565"/>
    <w:rsid w:val="6B961A5B"/>
    <w:rsid w:val="6B985891"/>
    <w:rsid w:val="6C0617E4"/>
    <w:rsid w:val="6C141437"/>
    <w:rsid w:val="6C376E3F"/>
    <w:rsid w:val="6CAD12CC"/>
    <w:rsid w:val="6CB250F3"/>
    <w:rsid w:val="6CBF1A0D"/>
    <w:rsid w:val="6CC84898"/>
    <w:rsid w:val="6D074EAC"/>
    <w:rsid w:val="6D4B5A55"/>
    <w:rsid w:val="6D685034"/>
    <w:rsid w:val="6D734E8A"/>
    <w:rsid w:val="6D7E533B"/>
    <w:rsid w:val="6DAF296E"/>
    <w:rsid w:val="6E120D2A"/>
    <w:rsid w:val="6E3E2D07"/>
    <w:rsid w:val="6E4D6901"/>
    <w:rsid w:val="6E7F776D"/>
    <w:rsid w:val="6E9B0DD8"/>
    <w:rsid w:val="6ED22F4B"/>
    <w:rsid w:val="6EDB54F5"/>
    <w:rsid w:val="6EE46197"/>
    <w:rsid w:val="6EEA3AFD"/>
    <w:rsid w:val="6F127145"/>
    <w:rsid w:val="6F243B76"/>
    <w:rsid w:val="6F4C72F5"/>
    <w:rsid w:val="6F7C1FEF"/>
    <w:rsid w:val="6F8140CB"/>
    <w:rsid w:val="6FC04EED"/>
    <w:rsid w:val="6FD54B20"/>
    <w:rsid w:val="70267678"/>
    <w:rsid w:val="704F5BB9"/>
    <w:rsid w:val="70741DA4"/>
    <w:rsid w:val="70880520"/>
    <w:rsid w:val="708F30A0"/>
    <w:rsid w:val="71570437"/>
    <w:rsid w:val="715F13CC"/>
    <w:rsid w:val="71A028DC"/>
    <w:rsid w:val="71D949C1"/>
    <w:rsid w:val="71E7354A"/>
    <w:rsid w:val="721065A7"/>
    <w:rsid w:val="72262F4F"/>
    <w:rsid w:val="72404167"/>
    <w:rsid w:val="72B02B60"/>
    <w:rsid w:val="72DC2FC4"/>
    <w:rsid w:val="73065251"/>
    <w:rsid w:val="7361339E"/>
    <w:rsid w:val="73644F8E"/>
    <w:rsid w:val="73874401"/>
    <w:rsid w:val="73986F17"/>
    <w:rsid w:val="7417530B"/>
    <w:rsid w:val="741E15E9"/>
    <w:rsid w:val="74583100"/>
    <w:rsid w:val="75145C3D"/>
    <w:rsid w:val="751D0546"/>
    <w:rsid w:val="754D55BC"/>
    <w:rsid w:val="754F7F3F"/>
    <w:rsid w:val="759406CF"/>
    <w:rsid w:val="75AB49AE"/>
    <w:rsid w:val="75B93BE3"/>
    <w:rsid w:val="75BE058E"/>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930E4"/>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820B2"/>
    <w:rsid w:val="7ACC35B0"/>
    <w:rsid w:val="7ACD5553"/>
    <w:rsid w:val="7ADA7DA8"/>
    <w:rsid w:val="7AF74591"/>
    <w:rsid w:val="7B496972"/>
    <w:rsid w:val="7B4E6F79"/>
    <w:rsid w:val="7B515A8A"/>
    <w:rsid w:val="7B993AAA"/>
    <w:rsid w:val="7BB33137"/>
    <w:rsid w:val="7BCB51C4"/>
    <w:rsid w:val="7C167869"/>
    <w:rsid w:val="7C1B4A50"/>
    <w:rsid w:val="7C5C6754"/>
    <w:rsid w:val="7C73131B"/>
    <w:rsid w:val="7C8A3578"/>
    <w:rsid w:val="7C923BD4"/>
    <w:rsid w:val="7C9D3270"/>
    <w:rsid w:val="7CA9484D"/>
    <w:rsid w:val="7CB4324F"/>
    <w:rsid w:val="7CBC35D8"/>
    <w:rsid w:val="7CC820DC"/>
    <w:rsid w:val="7CE365FC"/>
    <w:rsid w:val="7CEA7360"/>
    <w:rsid w:val="7CF639DE"/>
    <w:rsid w:val="7D03683D"/>
    <w:rsid w:val="7D073A09"/>
    <w:rsid w:val="7D09181F"/>
    <w:rsid w:val="7D2D376E"/>
    <w:rsid w:val="7D4B0427"/>
    <w:rsid w:val="7D852713"/>
    <w:rsid w:val="7DBA2582"/>
    <w:rsid w:val="7DC034E0"/>
    <w:rsid w:val="7DE66EE4"/>
    <w:rsid w:val="7DFD02BF"/>
    <w:rsid w:val="7E0A657E"/>
    <w:rsid w:val="7E187E7B"/>
    <w:rsid w:val="7E4F25B6"/>
    <w:rsid w:val="7E800146"/>
    <w:rsid w:val="7ECA4153"/>
    <w:rsid w:val="7ECE329C"/>
    <w:rsid w:val="7EDE1639"/>
    <w:rsid w:val="7F196AB2"/>
    <w:rsid w:val="7F556DC5"/>
    <w:rsid w:val="7FDF0D6E"/>
    <w:rsid w:val="7FF23570"/>
    <w:rsid w:val="7FF878F2"/>
    <w:rsid w:val="BFF70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4">
    <w:name w:val="Hyperlink"/>
    <w:qFormat/>
    <w:uiPriority w:val="99"/>
    <w:rPr>
      <w:color w:val="0000FF"/>
      <w:u w:val="single"/>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7">
    <w:name w:val="页脚 Char1"/>
    <w:link w:val="17"/>
    <w:qFormat/>
    <w:uiPriority w:val="99"/>
    <w:rPr>
      <w:rFonts w:eastAsia="宋体"/>
      <w:kern w:val="2"/>
      <w:sz w:val="18"/>
      <w:szCs w:val="18"/>
    </w:rPr>
  </w:style>
  <w:style w:type="character" w:customStyle="1" w:styleId="28">
    <w:name w:val="font11"/>
    <w:basedOn w:val="23"/>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3"/>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3"/>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3"/>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3"/>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9"/>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ScaleCrop>false</ScaleCrop>
  <LinksUpToDate>false</LinksUpToDate>
  <CharactersWithSpaces>85087</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ganlinjie</cp:lastModifiedBy>
  <cp:lastPrinted>2022-02-21T10:01:00Z</cp:lastPrinted>
  <dcterms:modified xsi:type="dcterms:W3CDTF">2022-02-24T22:04:00Z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ICV">
    <vt:lpwstr>5BA2D866C5C34F84B3D431C49F1EF952</vt:lpwstr>
  </property>
</Properties>
</file>