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ascii="宋体" w:hAnsi="宋体" w:cs="宋体"/>
          <w:b/>
          <w:sz w:val="28"/>
          <w:szCs w:val="28"/>
        </w:rPr>
      </w:pPr>
      <w:bookmarkStart w:id="4" w:name="_GoBack"/>
      <w:bookmarkEnd w:id="4"/>
      <w:bookmarkStart w:id="0" w:name="_Toc3161_WPSOffice_Level1"/>
      <w:bookmarkStart w:id="1" w:name="_Toc27409_WPSOffice_Level1"/>
      <w:r>
        <w:rPr>
          <w:rFonts w:hint="eastAsia" w:ascii="宋体" w:hAnsi="宋体" w:cs="宋体"/>
          <w:b/>
          <w:sz w:val="28"/>
          <w:szCs w:val="28"/>
        </w:rPr>
        <w:t>附表一</w:t>
      </w:r>
    </w:p>
    <w:p>
      <w:pPr>
        <w:tabs>
          <w:tab w:val="left" w:pos="416"/>
        </w:tabs>
        <w:autoSpaceDE w:val="0"/>
        <w:autoSpaceDN w:val="0"/>
        <w:spacing w:before="122" w:line="360" w:lineRule="auto"/>
        <w:ind w:left="100"/>
        <w:jc w:val="center"/>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G76 厦蓉高速（纳黔）路面预防性养护工程</w:t>
      </w:r>
    </w:p>
    <w:p>
      <w:pPr>
        <w:tabs>
          <w:tab w:val="left" w:pos="416"/>
        </w:tabs>
        <w:autoSpaceDE w:val="0"/>
        <w:autoSpaceDN w:val="0"/>
        <w:spacing w:before="122" w:line="360" w:lineRule="auto"/>
        <w:ind w:left="100"/>
        <w:jc w:val="center"/>
      </w:pPr>
      <w:r>
        <w:rPr>
          <w:rFonts w:hint="eastAsia" w:ascii="仿宋" w:hAnsi="仿宋" w:eastAsia="仿宋" w:cs="仿宋"/>
          <w:b/>
          <w:bCs/>
          <w:sz w:val="32"/>
          <w:szCs w:val="32"/>
        </w:rPr>
        <w:t>分段划分、工程内容、工期统计表</w:t>
      </w:r>
      <w:bookmarkStart w:id="2" w:name="_Toc20280_WPSOffice_Level1"/>
      <w:bookmarkStart w:id="3" w:name="_Toc22287"/>
    </w:p>
    <w:tbl>
      <w:tblPr>
        <w:tblStyle w:val="25"/>
        <w:tblpPr w:leftFromText="180" w:rightFromText="180" w:vertAnchor="text" w:horzAnchor="page" w:tblpXSpec="center" w:tblpY="426"/>
        <w:tblOverlap w:val="never"/>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0"/>
        <w:gridCol w:w="1135"/>
        <w:gridCol w:w="1887"/>
        <w:gridCol w:w="587"/>
        <w:gridCol w:w="4293"/>
        <w:gridCol w:w="9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8" w:hRule="atLeast"/>
          <w:tblHeader/>
          <w:jc w:val="center"/>
        </w:trPr>
        <w:tc>
          <w:tcPr>
            <w:tcW w:w="550" w:type="dxa"/>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序号</w:t>
            </w:r>
          </w:p>
        </w:tc>
        <w:tc>
          <w:tcPr>
            <w:tcW w:w="1135" w:type="dxa"/>
            <w:tcMar>
              <w:top w:w="15" w:type="dxa"/>
              <w:left w:w="15" w:type="dxa"/>
              <w:right w:w="15" w:type="dxa"/>
            </w:tcMar>
            <w:vAlign w:val="center"/>
          </w:tcPr>
          <w:p>
            <w:pPr>
              <w:widowControl/>
              <w:tabs>
                <w:tab w:val="left" w:pos="416"/>
              </w:tabs>
              <w:jc w:val="center"/>
              <w:textAlignment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特征</w:t>
            </w:r>
          </w:p>
        </w:tc>
        <w:tc>
          <w:tcPr>
            <w:tcW w:w="1887" w:type="dxa"/>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里程段落</w:t>
            </w:r>
          </w:p>
        </w:tc>
        <w:tc>
          <w:tcPr>
            <w:tcW w:w="587" w:type="dxa"/>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lang w:bidi="ar"/>
              </w:rPr>
              <w:t>长度（Km）</w:t>
            </w:r>
          </w:p>
        </w:tc>
        <w:tc>
          <w:tcPr>
            <w:tcW w:w="4293" w:type="dxa"/>
            <w:tcMar>
              <w:top w:w="15" w:type="dxa"/>
              <w:left w:w="15" w:type="dxa"/>
              <w:right w:w="15" w:type="dxa"/>
            </w:tcMar>
            <w:vAlign w:val="center"/>
          </w:tcPr>
          <w:p>
            <w:pPr>
              <w:widowControl/>
              <w:tabs>
                <w:tab w:val="left" w:pos="416"/>
              </w:tabs>
              <w:jc w:val="center"/>
              <w:textAlignment w:val="center"/>
              <w:rPr>
                <w:rFonts w:ascii="宋体" w:hAnsi="宋体" w:cs="宋体"/>
                <w:sz w:val="18"/>
                <w:szCs w:val="18"/>
              </w:rPr>
            </w:pPr>
            <w:r>
              <w:rPr>
                <w:rFonts w:hint="eastAsia" w:ascii="宋体" w:hAnsi="宋体" w:cs="宋体"/>
                <w:kern w:val="0"/>
                <w:sz w:val="18"/>
                <w:szCs w:val="18"/>
              </w:rPr>
              <w:t>工作内容</w:t>
            </w:r>
          </w:p>
        </w:tc>
        <w:tc>
          <w:tcPr>
            <w:tcW w:w="903" w:type="dxa"/>
            <w:tcMar>
              <w:top w:w="15" w:type="dxa"/>
              <w:left w:w="15" w:type="dxa"/>
              <w:right w:w="15" w:type="dxa"/>
            </w:tcMar>
            <w:vAlign w:val="center"/>
          </w:tcPr>
          <w:p>
            <w:pPr>
              <w:widowControl/>
              <w:tabs>
                <w:tab w:val="left" w:pos="416"/>
              </w:tabs>
              <w:jc w:val="center"/>
              <w:textAlignment w:val="center"/>
              <w:rPr>
                <w:rFonts w:ascii="宋体" w:hAnsi="宋体" w:cs="宋体"/>
                <w:kern w:val="0"/>
                <w:sz w:val="18"/>
                <w:szCs w:val="18"/>
              </w:rPr>
            </w:pPr>
            <w:r>
              <w:rPr>
                <w:rFonts w:hint="eastAsia" w:ascii="宋体" w:hAnsi="宋体" w:cs="宋体"/>
                <w:kern w:val="0"/>
                <w:sz w:val="18"/>
                <w:szCs w:val="18"/>
              </w:rPr>
              <w:t>工期（月）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2" w:hRule="atLeast"/>
          <w:jc w:val="center"/>
        </w:trPr>
        <w:tc>
          <w:tcPr>
            <w:tcW w:w="550" w:type="dxa"/>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1</w:t>
            </w:r>
          </w:p>
        </w:tc>
        <w:tc>
          <w:tcPr>
            <w:tcW w:w="1135" w:type="dxa"/>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rPr>
              <w:t>路基、路面</w:t>
            </w:r>
          </w:p>
        </w:tc>
        <w:tc>
          <w:tcPr>
            <w:tcW w:w="1887" w:type="dxa"/>
            <w:tcMar>
              <w:top w:w="15" w:type="dxa"/>
              <w:left w:w="15" w:type="dxa"/>
              <w:right w:w="15" w:type="dxa"/>
            </w:tcMar>
            <w:vAlign w:val="center"/>
          </w:tcPr>
          <w:p>
            <w:pPr>
              <w:widowControl/>
              <w:jc w:val="center"/>
              <w:textAlignment w:val="center"/>
              <w:rPr>
                <w:rFonts w:ascii="宋体" w:hAnsi="宋体" w:cs="宋体"/>
                <w:kern w:val="0"/>
                <w:sz w:val="18"/>
                <w:szCs w:val="18"/>
              </w:rPr>
            </w:pPr>
            <w:r>
              <w:rPr>
                <w:rFonts w:hint="eastAsia" w:ascii="宋体" w:hAnsi="宋体" w:cs="宋体"/>
                <w:kern w:val="0"/>
                <w:sz w:val="18"/>
                <w:szCs w:val="18"/>
                <w:lang w:val="en-US" w:eastAsia="zh-CN"/>
              </w:rPr>
              <w:t>K1786+000~K1847+000</w:t>
            </w:r>
          </w:p>
        </w:tc>
        <w:tc>
          <w:tcPr>
            <w:tcW w:w="587" w:type="dxa"/>
            <w:tcMar>
              <w:top w:w="15" w:type="dxa"/>
              <w:left w:w="15" w:type="dxa"/>
              <w:right w:w="15" w:type="dxa"/>
            </w:tcMar>
            <w:vAlign w:val="center"/>
          </w:tcPr>
          <w:p>
            <w:pPr>
              <w:widowControl/>
              <w:jc w:val="center"/>
              <w:textAlignment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61</w:t>
            </w:r>
          </w:p>
        </w:tc>
        <w:tc>
          <w:tcPr>
            <w:tcW w:w="4293" w:type="dxa"/>
            <w:tcMar>
              <w:top w:w="15" w:type="dxa"/>
              <w:left w:w="15" w:type="dxa"/>
              <w:right w:w="15" w:type="dxa"/>
            </w:tcMar>
            <w:vAlign w:val="center"/>
          </w:tcPr>
          <w:p>
            <w:pPr>
              <w:widowControl/>
              <w:jc w:val="center"/>
              <w:textAlignment w:val="center"/>
              <w:rPr>
                <w:rFonts w:hint="eastAsia" w:ascii="宋体" w:hAnsi="宋体" w:eastAsia="宋体" w:cs="宋体"/>
                <w:kern w:val="0"/>
                <w:sz w:val="18"/>
                <w:szCs w:val="18"/>
                <w:lang w:eastAsia="zh-CN"/>
              </w:rPr>
            </w:pPr>
            <w:r>
              <w:rPr>
                <w:rFonts w:hint="eastAsia" w:ascii="宋体" w:hAnsi="宋体" w:cs="宋体"/>
                <w:kern w:val="0"/>
                <w:sz w:val="18"/>
                <w:szCs w:val="18"/>
              </w:rPr>
              <w:t>挖除旧路面、垫层、水泥稳定底基层、基层并恢复、</w:t>
            </w:r>
            <w:r>
              <w:rPr>
                <w:rFonts w:hint="eastAsia" w:ascii="宋体" w:hAnsi="宋体" w:cs="宋体"/>
                <w:kern w:val="0"/>
                <w:sz w:val="18"/>
                <w:szCs w:val="18"/>
                <w:lang w:val="en-US" w:eastAsia="zh-CN"/>
              </w:rPr>
              <w:t>现浇C20混凝土路缘石、</w:t>
            </w:r>
            <w:r>
              <w:rPr>
                <w:rFonts w:hint="eastAsia" w:ascii="宋体" w:hAnsi="宋体" w:cs="宋体"/>
                <w:kern w:val="0"/>
                <w:sz w:val="18"/>
                <w:szCs w:val="18"/>
              </w:rPr>
              <w:t>乳化沥青粘层、沥青路面：AC-13、AC-20、SMA-13、</w:t>
            </w:r>
            <w:r>
              <w:rPr>
                <w:rFonts w:hint="eastAsia" w:ascii="宋体" w:hAnsi="宋体" w:cs="宋体"/>
                <w:kern w:val="0"/>
                <w:sz w:val="18"/>
                <w:szCs w:val="18"/>
                <w:lang w:val="en-US" w:eastAsia="zh-CN"/>
              </w:rPr>
              <w:t>PA-13、同步碎石封层</w:t>
            </w:r>
            <w:r>
              <w:rPr>
                <w:rFonts w:hint="eastAsia" w:ascii="宋体" w:hAnsi="宋体" w:cs="宋体"/>
                <w:kern w:val="0"/>
                <w:sz w:val="18"/>
                <w:szCs w:val="18"/>
              </w:rPr>
              <w:t>等工程内容</w:t>
            </w:r>
            <w:r>
              <w:rPr>
                <w:rFonts w:hint="eastAsia" w:ascii="宋体" w:hAnsi="宋体" w:cs="宋体"/>
                <w:kern w:val="0"/>
                <w:sz w:val="18"/>
                <w:szCs w:val="18"/>
                <w:lang w:eastAsia="zh-CN"/>
              </w:rPr>
              <w:t>（</w:t>
            </w:r>
            <w:r>
              <w:rPr>
                <w:rFonts w:hint="eastAsia" w:ascii="宋体" w:hAnsi="宋体" w:cs="宋体"/>
                <w:kern w:val="0"/>
                <w:sz w:val="18"/>
                <w:szCs w:val="18"/>
                <w:lang w:val="en-US" w:eastAsia="zh-CN"/>
              </w:rPr>
              <w:t>甲供材料除外</w:t>
            </w:r>
            <w:r>
              <w:rPr>
                <w:rFonts w:hint="eastAsia" w:ascii="宋体" w:hAnsi="宋体" w:cs="宋体"/>
                <w:kern w:val="0"/>
                <w:sz w:val="18"/>
                <w:szCs w:val="18"/>
                <w:lang w:eastAsia="zh-CN"/>
              </w:rPr>
              <w:t>）</w:t>
            </w:r>
          </w:p>
        </w:tc>
        <w:tc>
          <w:tcPr>
            <w:tcW w:w="903" w:type="dxa"/>
            <w:tcMar>
              <w:top w:w="15" w:type="dxa"/>
              <w:left w:w="15" w:type="dxa"/>
              <w:right w:w="15" w:type="dxa"/>
            </w:tcMar>
            <w:vAlign w:val="center"/>
          </w:tcPr>
          <w:p>
            <w:pPr>
              <w:widowControl/>
              <w:jc w:val="center"/>
              <w:textAlignment w:val="center"/>
              <w:rPr>
                <w:rFonts w:hint="eastAsia" w:ascii="宋体" w:hAnsi="宋体" w:eastAsia="宋体" w:cs="宋体"/>
                <w:kern w:val="0"/>
                <w:sz w:val="18"/>
                <w:szCs w:val="18"/>
                <w:lang w:eastAsia="zh-CN"/>
              </w:rPr>
            </w:pPr>
            <w:r>
              <w:rPr>
                <w:rFonts w:hint="eastAsia" w:ascii="宋体" w:hAnsi="宋体" w:cs="宋体"/>
                <w:kern w:val="0"/>
                <w:sz w:val="18"/>
                <w:szCs w:val="18"/>
                <w:lang w:val="en-US" w:eastAsia="zh-CN"/>
              </w:rPr>
              <w:t>6</w:t>
            </w:r>
          </w:p>
        </w:tc>
      </w:tr>
    </w:tbl>
    <w:p>
      <w:pPr>
        <w:pStyle w:val="2"/>
        <w:ind w:firstLine="0"/>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pStyle w:val="2"/>
        <w:jc w:val="left"/>
        <w:rPr>
          <w:rFonts w:ascii="宋体" w:hAnsi="宋体" w:eastAsia="宋体" w:cs="宋体"/>
          <w:b/>
          <w:sz w:val="28"/>
          <w:szCs w:val="28"/>
        </w:rPr>
      </w:pPr>
    </w:p>
    <w:p>
      <w:pPr>
        <w:rPr>
          <w:rFonts w:ascii="宋体" w:hAnsi="宋体" w:cs="宋体"/>
          <w:b/>
          <w:sz w:val="28"/>
          <w:szCs w:val="28"/>
        </w:rPr>
      </w:pPr>
      <w:r>
        <w:rPr>
          <w:rFonts w:hint="eastAsia" w:ascii="宋体" w:hAnsi="宋体" w:cs="宋体"/>
          <w:b/>
          <w:sz w:val="28"/>
          <w:szCs w:val="28"/>
        </w:rPr>
        <w:br w:type="page"/>
      </w:r>
    </w:p>
    <w:p>
      <w:pPr>
        <w:rPr>
          <w:rFonts w:ascii="宋体" w:hAnsi="宋体" w:cs="宋体"/>
          <w:b/>
          <w:sz w:val="28"/>
          <w:szCs w:val="28"/>
        </w:rPr>
      </w:pPr>
      <w:r>
        <w:rPr>
          <w:rFonts w:hint="eastAsia" w:ascii="宋体" w:hAnsi="宋体" w:cs="宋体"/>
          <w:b/>
          <w:sz w:val="28"/>
          <w:szCs w:val="28"/>
        </w:rPr>
        <w:t>附表二</w:t>
      </w:r>
    </w:p>
    <w:p>
      <w:pPr>
        <w:pStyle w:val="2"/>
        <w:ind w:firstLine="0"/>
        <w:jc w:val="center"/>
        <w:rPr>
          <w:rFonts w:cs="仿宋"/>
          <w:b/>
          <w:bCs/>
          <w:sz w:val="32"/>
          <w:szCs w:val="32"/>
        </w:rPr>
      </w:pPr>
    </w:p>
    <w:p>
      <w:pPr>
        <w:pStyle w:val="2"/>
        <w:ind w:firstLine="0"/>
        <w:jc w:val="center"/>
        <w:rPr>
          <w:rFonts w:hint="eastAsia" w:ascii="宋体" w:hAnsi="宋体" w:eastAsia="仿宋" w:cs="宋体"/>
          <w:b/>
          <w:bCs/>
          <w:spacing w:val="-6"/>
          <w:sz w:val="32"/>
          <w:szCs w:val="32"/>
          <w:lang w:eastAsia="zh-CN"/>
        </w:rPr>
      </w:pPr>
      <w:r>
        <w:rPr>
          <w:rFonts w:hint="eastAsia" w:ascii="宋体" w:hAnsi="宋体" w:cs="宋体"/>
          <w:b/>
          <w:bCs/>
          <w:spacing w:val="-6"/>
          <w:sz w:val="32"/>
          <w:szCs w:val="32"/>
          <w:lang w:eastAsia="zh-CN"/>
        </w:rPr>
        <w:t>G76 厦蓉高速（纳黔）路面预防性养护工程</w:t>
      </w:r>
    </w:p>
    <w:p>
      <w:pPr>
        <w:pStyle w:val="2"/>
        <w:ind w:firstLine="0"/>
        <w:jc w:val="center"/>
        <w:rPr>
          <w:rFonts w:ascii="宋体" w:hAnsi="宋体" w:eastAsia="宋体" w:cs="宋体"/>
          <w:b/>
          <w:sz w:val="28"/>
          <w:szCs w:val="28"/>
        </w:rPr>
      </w:pPr>
      <w:r>
        <w:rPr>
          <w:rFonts w:hint="eastAsia" w:cs="仿宋"/>
          <w:b/>
          <w:bCs/>
          <w:sz w:val="32"/>
          <w:szCs w:val="32"/>
        </w:rPr>
        <w:t>施工企业资质等级要求、业绩基本要求</w:t>
      </w:r>
    </w:p>
    <w:tbl>
      <w:tblPr>
        <w:tblStyle w:val="25"/>
        <w:tblW w:w="9919" w:type="dxa"/>
        <w:tblInd w:w="0" w:type="dxa"/>
        <w:tblLayout w:type="fixed"/>
        <w:tblCellMar>
          <w:top w:w="0" w:type="dxa"/>
          <w:left w:w="0" w:type="dxa"/>
          <w:bottom w:w="0" w:type="dxa"/>
          <w:right w:w="0" w:type="dxa"/>
        </w:tblCellMar>
      </w:tblPr>
      <w:tblGrid>
        <w:gridCol w:w="528"/>
        <w:gridCol w:w="860"/>
        <w:gridCol w:w="3445"/>
        <w:gridCol w:w="3880"/>
        <w:gridCol w:w="1206"/>
      </w:tblGrid>
      <w:tr>
        <w:tblPrEx>
          <w:tblCellMar>
            <w:top w:w="0" w:type="dxa"/>
            <w:left w:w="0" w:type="dxa"/>
            <w:bottom w:w="0" w:type="dxa"/>
            <w:right w:w="0" w:type="dxa"/>
          </w:tblCellMar>
        </w:tblPrEx>
        <w:trPr>
          <w:trHeight w:val="686"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hint="eastAsia" w:ascii="宋体" w:hAnsi="宋体" w:cs="宋体"/>
                <w:kern w:val="0"/>
                <w:sz w:val="20"/>
                <w:szCs w:val="20"/>
                <w:lang w:bidi="ar"/>
              </w:rPr>
              <w:t>序号</w:t>
            </w:r>
          </w:p>
        </w:tc>
        <w:tc>
          <w:tcPr>
            <w:tcW w:w="8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hint="eastAsia" w:ascii="宋体" w:hAnsi="宋体" w:cs="宋体"/>
                <w:kern w:val="0"/>
                <w:sz w:val="20"/>
                <w:szCs w:val="20"/>
                <w:lang w:bidi="ar"/>
              </w:rPr>
              <w:t>特征</w:t>
            </w:r>
          </w:p>
        </w:tc>
        <w:tc>
          <w:tcPr>
            <w:tcW w:w="3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hint="eastAsia" w:ascii="宋体" w:hAnsi="宋体" w:cs="宋体"/>
                <w:kern w:val="0"/>
                <w:sz w:val="20"/>
                <w:szCs w:val="20"/>
                <w:lang w:bidi="ar"/>
              </w:rPr>
              <w:t>施工企业资质等级要求</w:t>
            </w:r>
          </w:p>
        </w:tc>
        <w:tc>
          <w:tcPr>
            <w:tcW w:w="38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hint="eastAsia" w:ascii="宋体" w:hAnsi="宋体" w:cs="宋体"/>
                <w:kern w:val="0"/>
                <w:sz w:val="20"/>
                <w:szCs w:val="20"/>
                <w:lang w:bidi="ar"/>
              </w:rPr>
              <w:t>业绩基本要求</w:t>
            </w:r>
          </w:p>
        </w:tc>
        <w:tc>
          <w:tcPr>
            <w:tcW w:w="120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hint="eastAsia" w:ascii="宋体" w:hAnsi="宋体" w:cs="宋体"/>
                <w:kern w:val="0"/>
                <w:sz w:val="20"/>
                <w:szCs w:val="20"/>
                <w:lang w:bidi="ar"/>
              </w:rPr>
              <w:t>备注</w:t>
            </w:r>
          </w:p>
        </w:tc>
      </w:tr>
      <w:tr>
        <w:tblPrEx>
          <w:tblCellMar>
            <w:top w:w="0" w:type="dxa"/>
            <w:left w:w="0" w:type="dxa"/>
            <w:bottom w:w="0" w:type="dxa"/>
            <w:right w:w="0" w:type="dxa"/>
          </w:tblCellMar>
        </w:tblPrEx>
        <w:trPr>
          <w:trHeight w:val="2021" w:hRule="atLeast"/>
        </w:trPr>
        <w:tc>
          <w:tcPr>
            <w:tcW w:w="52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hint="eastAsia" w:ascii="宋体" w:hAnsi="宋体" w:cs="宋体"/>
                <w:kern w:val="0"/>
                <w:sz w:val="20"/>
                <w:szCs w:val="20"/>
                <w:lang w:bidi="ar"/>
              </w:rPr>
              <w:t>1</w:t>
            </w:r>
          </w:p>
        </w:tc>
        <w:tc>
          <w:tcPr>
            <w:tcW w:w="86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hint="eastAsia" w:ascii="宋体" w:hAnsi="宋体" w:cs="宋体"/>
                <w:kern w:val="0"/>
                <w:sz w:val="20"/>
                <w:szCs w:val="20"/>
                <w:lang w:bidi="ar"/>
              </w:rPr>
              <w:t>路基、路面</w:t>
            </w:r>
          </w:p>
        </w:tc>
        <w:tc>
          <w:tcPr>
            <w:tcW w:w="34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hint="eastAsia" w:ascii="宋体" w:hAnsi="宋体" w:cs="宋体"/>
                <w:kern w:val="0"/>
                <w:sz w:val="20"/>
                <w:szCs w:val="20"/>
                <w:lang w:bidi="ar"/>
              </w:rPr>
              <w:t>施工劳务资质或公路工程施工总承包三级及以上资质</w:t>
            </w:r>
          </w:p>
        </w:tc>
        <w:tc>
          <w:tcPr>
            <w:tcW w:w="388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r>
              <w:rPr>
                <w:rFonts w:hint="eastAsia" w:ascii="宋体" w:hAnsi="宋体" w:cs="宋体"/>
                <w:kern w:val="0"/>
                <w:sz w:val="20"/>
                <w:szCs w:val="20"/>
                <w:lang w:val="en-US" w:eastAsia="zh-CN" w:bidi="ar"/>
              </w:rPr>
              <w:t>5</w:t>
            </w:r>
            <w:r>
              <w:rPr>
                <w:rFonts w:hint="eastAsia" w:ascii="宋体" w:hAnsi="宋体" w:cs="宋体"/>
                <w:kern w:val="0"/>
                <w:sz w:val="20"/>
                <w:szCs w:val="20"/>
                <w:lang w:bidi="ar"/>
              </w:rPr>
              <w:t>年内（201</w:t>
            </w:r>
            <w:r>
              <w:rPr>
                <w:rFonts w:hint="eastAsia" w:ascii="宋体" w:hAnsi="宋体" w:cs="宋体"/>
                <w:kern w:val="0"/>
                <w:sz w:val="20"/>
                <w:szCs w:val="20"/>
                <w:lang w:val="en-US" w:eastAsia="zh-CN" w:bidi="ar"/>
              </w:rPr>
              <w:t>7</w:t>
            </w:r>
            <w:r>
              <w:rPr>
                <w:rFonts w:hint="eastAsia" w:ascii="宋体" w:hAnsi="宋体" w:cs="宋体"/>
                <w:kern w:val="0"/>
                <w:sz w:val="20"/>
                <w:szCs w:val="20"/>
                <w:lang w:bidi="ar"/>
              </w:rPr>
              <w:t>年1月1日起算</w:t>
            </w:r>
            <w:r>
              <w:rPr>
                <w:rFonts w:hint="eastAsia" w:ascii="宋体" w:hAnsi="宋体" w:cs="宋体"/>
                <w:kern w:val="0"/>
                <w:sz w:val="20"/>
                <w:szCs w:val="20"/>
                <w:lang w:eastAsia="zh-CN" w:bidi="ar"/>
              </w:rPr>
              <w:t>，</w:t>
            </w:r>
            <w:r>
              <w:rPr>
                <w:rFonts w:hint="eastAsia" w:ascii="宋体" w:hAnsi="宋体" w:cs="宋体"/>
                <w:kern w:val="0"/>
                <w:sz w:val="20"/>
                <w:szCs w:val="20"/>
                <w:lang w:val="en-US" w:eastAsia="zh-CN" w:bidi="ar"/>
              </w:rPr>
              <w:t>以合同签订日期为准</w:t>
            </w:r>
            <w:r>
              <w:rPr>
                <w:rFonts w:hint="eastAsia" w:ascii="宋体" w:hAnsi="宋体" w:cs="宋体"/>
                <w:kern w:val="0"/>
                <w:sz w:val="20"/>
                <w:szCs w:val="20"/>
                <w:lang w:bidi="ar"/>
              </w:rPr>
              <w:t>）</w:t>
            </w:r>
            <w:r>
              <w:rPr>
                <w:rFonts w:hint="eastAsia" w:ascii="宋体" w:hAnsi="宋体" w:cs="宋体"/>
                <w:kern w:val="0"/>
                <w:sz w:val="20"/>
                <w:szCs w:val="20"/>
                <w:lang w:val="en-US" w:eastAsia="zh-CN" w:bidi="ar"/>
              </w:rPr>
              <w:t>,</w:t>
            </w:r>
            <w:r>
              <w:rPr>
                <w:rFonts w:hint="eastAsia" w:ascii="宋体" w:hAnsi="宋体" w:cs="宋体"/>
                <w:kern w:val="0"/>
                <w:sz w:val="20"/>
                <w:szCs w:val="20"/>
                <w:lang w:bidi="ar"/>
              </w:rPr>
              <w:t>具有</w:t>
            </w:r>
            <w:r>
              <w:rPr>
                <w:rFonts w:ascii="宋体" w:hAnsi="宋体" w:cs="宋体"/>
                <w:kern w:val="0"/>
                <w:sz w:val="20"/>
                <w:szCs w:val="20"/>
                <w:lang w:bidi="ar"/>
              </w:rPr>
              <w:t>1</w:t>
            </w:r>
            <w:r>
              <w:rPr>
                <w:rFonts w:hint="eastAsia" w:ascii="宋体" w:hAnsi="宋体" w:cs="宋体"/>
                <w:kern w:val="0"/>
                <w:sz w:val="20"/>
                <w:szCs w:val="20"/>
                <w:lang w:bidi="ar"/>
              </w:rPr>
              <w:t>个合同金额</w:t>
            </w:r>
            <w:r>
              <w:rPr>
                <w:rFonts w:hint="eastAsia" w:ascii="宋体" w:hAnsi="宋体" w:cs="宋体"/>
                <w:kern w:val="0"/>
                <w:sz w:val="20"/>
                <w:szCs w:val="20"/>
                <w:highlight w:val="none"/>
                <w:lang w:val="en-US" w:eastAsia="zh-CN" w:bidi="ar"/>
              </w:rPr>
              <w:t>500</w:t>
            </w:r>
            <w:r>
              <w:rPr>
                <w:rFonts w:hint="eastAsia" w:ascii="宋体" w:hAnsi="宋体" w:cs="宋体"/>
                <w:kern w:val="0"/>
                <w:sz w:val="20"/>
                <w:szCs w:val="20"/>
                <w:lang w:bidi="ar"/>
              </w:rPr>
              <w:t>万元以上的</w:t>
            </w:r>
            <w:r>
              <w:rPr>
                <w:rFonts w:hint="eastAsia" w:ascii="宋体" w:hAnsi="宋体" w:cs="宋体"/>
                <w:kern w:val="0"/>
                <w:sz w:val="20"/>
                <w:szCs w:val="20"/>
                <w:lang w:val="en-US" w:eastAsia="zh-CN" w:bidi="ar"/>
              </w:rPr>
              <w:t>高速公路路面养护</w:t>
            </w:r>
            <w:r>
              <w:rPr>
                <w:rFonts w:hint="eastAsia" w:ascii="宋体" w:hAnsi="宋体" w:cs="宋体"/>
                <w:kern w:val="0"/>
                <w:sz w:val="20"/>
                <w:szCs w:val="20"/>
                <w:lang w:bidi="ar"/>
              </w:rPr>
              <w:t>工程施工业绩。</w:t>
            </w:r>
          </w:p>
        </w:tc>
        <w:tc>
          <w:tcPr>
            <w:tcW w:w="120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 w:val="20"/>
                <w:szCs w:val="20"/>
                <w:lang w:bidi="ar"/>
              </w:rPr>
            </w:pPr>
          </w:p>
        </w:tc>
      </w:tr>
    </w:tbl>
    <w:p>
      <w:pPr>
        <w:pStyle w:val="2"/>
        <w:ind w:firstLine="0"/>
        <w:jc w:val="left"/>
        <w:rPr>
          <w:rFonts w:ascii="Times New Roman" w:hAnsi="Times New Roman" w:eastAsia="宋体"/>
          <w:b/>
          <w:bCs/>
          <w:kern w:val="2"/>
          <w:szCs w:val="20"/>
        </w:rPr>
      </w:pPr>
    </w:p>
    <w:p>
      <w:pPr>
        <w:pStyle w:val="2"/>
        <w:ind w:firstLine="0"/>
        <w:jc w:val="left"/>
        <w:rPr>
          <w:rFonts w:ascii="Times New Roman" w:hAnsi="Times New Roman" w:eastAsia="宋体"/>
          <w:b/>
          <w:bCs/>
          <w:kern w:val="2"/>
          <w:szCs w:val="20"/>
        </w:rPr>
        <w:sectPr>
          <w:footerReference r:id="rId3" w:type="default"/>
          <w:pgSz w:w="11911" w:h="16838"/>
          <w:pgMar w:top="1599" w:right="1179" w:bottom="1298" w:left="1100" w:header="0" w:footer="567" w:gutter="0"/>
          <w:cols w:space="720" w:num="1"/>
          <w:docGrid w:linePitch="1" w:charSpace="0"/>
        </w:sectPr>
      </w:pPr>
      <w:r>
        <w:rPr>
          <w:rFonts w:hint="eastAsia" w:ascii="Times New Roman" w:hAnsi="Times New Roman" w:eastAsia="宋体"/>
          <w:b/>
          <w:bCs/>
          <w:kern w:val="2"/>
          <w:szCs w:val="20"/>
        </w:rPr>
        <w:t>注：若业绩为单价合同，需提供交工验收证书或最终结算资料作为合同金额的判定资料。</w:t>
      </w:r>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附表三</w:t>
      </w:r>
    </w:p>
    <w:tbl>
      <w:tblPr>
        <w:tblStyle w:val="25"/>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594"/>
        <w:gridCol w:w="1901"/>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rPr>
            </w:pPr>
            <w:r>
              <w:rPr>
                <w:rFonts w:hint="eastAsia" w:ascii="仿宋" w:hAnsi="仿宋" w:eastAsia="仿宋" w:cs="仿宋"/>
                <w:b/>
                <w:bCs/>
                <w:sz w:val="28"/>
                <w:szCs w:val="28"/>
                <w:lang w:eastAsia="zh-CN"/>
              </w:rPr>
              <w:t>G76 厦蓉高速（纳黔）路面预防性养护工程</w:t>
            </w:r>
            <w:r>
              <w:rPr>
                <w:rFonts w:hint="eastAsia" w:ascii="仿宋" w:hAnsi="仿宋" w:eastAsia="仿宋" w:cs="仿宋"/>
                <w:b/>
                <w:bCs/>
                <w:sz w:val="28"/>
                <w:szCs w:val="28"/>
              </w:rPr>
              <w:t>劳务合作项目</w:t>
            </w:r>
          </w:p>
          <w:p>
            <w:pPr>
              <w:widowControl/>
              <w:jc w:val="center"/>
              <w:textAlignment w:val="center"/>
              <w:rPr>
                <w:rFonts w:ascii="宋体" w:hAnsi="宋体" w:cs="宋体"/>
                <w:b/>
                <w:sz w:val="28"/>
                <w:szCs w:val="28"/>
              </w:rPr>
            </w:pPr>
            <w:r>
              <w:rPr>
                <w:rFonts w:hint="eastAsia" w:ascii="仿宋" w:hAnsi="仿宋" w:eastAsia="仿宋" w:cs="仿宋"/>
                <w:b/>
                <w:bCs/>
                <w:sz w:val="28"/>
                <w:szCs w:val="28"/>
              </w:rPr>
              <w:t>拟</w:t>
            </w:r>
            <w:r>
              <w:rPr>
                <w:rFonts w:hint="eastAsia" w:ascii="仿宋" w:hAnsi="仿宋" w:eastAsia="仿宋" w:cs="仿宋"/>
                <w:b/>
                <w:kern w:val="0"/>
                <w:sz w:val="28"/>
                <w:szCs w:val="28"/>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岗位名称</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00" w:firstLineChars="100"/>
              <w:jc w:val="center"/>
              <w:textAlignment w:val="center"/>
              <w:rPr>
                <w:rFonts w:ascii="宋体" w:hAnsi="宋体" w:cs="宋体"/>
                <w:sz w:val="20"/>
                <w:szCs w:val="20"/>
              </w:rPr>
            </w:pPr>
            <w:r>
              <w:rPr>
                <w:rFonts w:hint="eastAsia" w:ascii="宋体" w:hAnsi="宋体" w:cs="宋体"/>
                <w:kern w:val="0"/>
                <w:sz w:val="20"/>
                <w:szCs w:val="20"/>
              </w:rPr>
              <w:t>工作任务</w:t>
            </w:r>
          </w:p>
        </w:tc>
        <w:tc>
          <w:tcPr>
            <w:tcW w:w="159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00" w:firstLineChars="100"/>
              <w:jc w:val="center"/>
              <w:textAlignment w:val="center"/>
              <w:rPr>
                <w:rFonts w:ascii="宋体" w:hAnsi="宋体" w:cs="宋体"/>
                <w:sz w:val="20"/>
                <w:szCs w:val="20"/>
              </w:rPr>
            </w:pPr>
            <w:r>
              <w:rPr>
                <w:rFonts w:hint="eastAsia" w:ascii="宋体" w:hAnsi="宋体" w:cs="宋体"/>
                <w:kern w:val="0"/>
                <w:sz w:val="20"/>
                <w:szCs w:val="20"/>
              </w:rPr>
              <w:t>人数</w:t>
            </w:r>
          </w:p>
        </w:tc>
        <w:tc>
          <w:tcPr>
            <w:tcW w:w="190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00" w:firstLineChars="100"/>
              <w:jc w:val="center"/>
              <w:textAlignment w:val="center"/>
              <w:rPr>
                <w:rFonts w:ascii="宋体" w:hAnsi="宋体" w:cs="宋体"/>
                <w:sz w:val="20"/>
                <w:szCs w:val="20"/>
              </w:rPr>
            </w:pPr>
            <w:r>
              <w:rPr>
                <w:rFonts w:hint="eastAsia" w:ascii="宋体" w:hAnsi="宋体" w:cs="宋体"/>
                <w:kern w:val="0"/>
                <w:sz w:val="20"/>
                <w:szCs w:val="20"/>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牵头负责项目总体工作</w:t>
            </w:r>
          </w:p>
        </w:tc>
        <w:tc>
          <w:tcPr>
            <w:tcW w:w="159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1</w:t>
            </w:r>
          </w:p>
        </w:tc>
        <w:tc>
          <w:tcPr>
            <w:tcW w:w="190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具有高速公路</w:t>
            </w:r>
            <w:r>
              <w:rPr>
                <w:rFonts w:hint="eastAsia" w:ascii="宋体" w:hAnsi="宋体" w:cs="宋体"/>
                <w:kern w:val="0"/>
                <w:sz w:val="20"/>
                <w:szCs w:val="20"/>
                <w:lang w:val="en-US" w:eastAsia="zh-CN"/>
              </w:rPr>
              <w:t>养护</w:t>
            </w:r>
            <w:r>
              <w:rPr>
                <w:rFonts w:hint="eastAsia" w:ascii="宋体" w:hAnsi="宋体" w:cs="宋体"/>
                <w:kern w:val="0"/>
                <w:sz w:val="20"/>
                <w:szCs w:val="20"/>
              </w:rPr>
              <w:t>施工管理经验、并附有关证明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项目技术负责人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协助项目负责人负责项目进度、质量工作</w:t>
            </w:r>
          </w:p>
        </w:tc>
        <w:tc>
          <w:tcPr>
            <w:tcW w:w="159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1</w:t>
            </w:r>
          </w:p>
        </w:tc>
        <w:tc>
          <w:tcPr>
            <w:tcW w:w="190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rPr>
              <w:t>3</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 w:val="20"/>
                <w:szCs w:val="20"/>
                <w:lang w:eastAsia="zh-CN"/>
              </w:rPr>
            </w:pPr>
            <w:r>
              <w:rPr>
                <w:rFonts w:hint="eastAsia" w:ascii="宋体" w:hAnsi="宋体" w:cs="宋体"/>
                <w:sz w:val="20"/>
                <w:szCs w:val="20"/>
                <w:lang w:val="en-US" w:eastAsia="zh-CN"/>
              </w:rPr>
              <w:t>现场安全员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协助项目负责人负责安全管理工作</w:t>
            </w:r>
          </w:p>
        </w:tc>
        <w:tc>
          <w:tcPr>
            <w:tcW w:w="159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 w:val="20"/>
                <w:szCs w:val="20"/>
                <w:lang w:eastAsia="zh-CN"/>
              </w:rPr>
            </w:pPr>
            <w:r>
              <w:rPr>
                <w:rFonts w:hint="eastAsia" w:ascii="宋体" w:hAnsi="宋体" w:cs="宋体"/>
                <w:sz w:val="20"/>
                <w:szCs w:val="20"/>
                <w:lang w:val="en-US" w:eastAsia="zh-CN"/>
              </w:rPr>
              <w:t>2</w:t>
            </w:r>
          </w:p>
        </w:tc>
        <w:tc>
          <w:tcPr>
            <w:tcW w:w="190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kern w:val="0"/>
                <w:sz w:val="20"/>
                <w:szCs w:val="20"/>
              </w:rPr>
            </w:pPr>
            <w:r>
              <w:rPr>
                <w:rFonts w:hint="eastAsia" w:ascii="宋体" w:hAnsi="宋体" w:cs="宋体"/>
                <w:kern w:val="0"/>
                <w:sz w:val="20"/>
                <w:szCs w:val="20"/>
              </w:rPr>
              <w:t>具有安全C证，并附相关证明</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4</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现场管理人员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协助项目技术负责人负责现场进度、质量工作</w:t>
            </w:r>
          </w:p>
        </w:tc>
        <w:tc>
          <w:tcPr>
            <w:tcW w:w="159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sz w:val="20"/>
                <w:szCs w:val="20"/>
                <w:lang w:eastAsia="zh-CN"/>
              </w:rPr>
            </w:pPr>
            <w:r>
              <w:rPr>
                <w:rFonts w:hint="eastAsia" w:ascii="宋体" w:hAnsi="宋体" w:cs="宋体"/>
                <w:sz w:val="20"/>
                <w:szCs w:val="20"/>
                <w:lang w:val="en-US" w:eastAsia="zh-CN"/>
              </w:rPr>
              <w:t>1</w:t>
            </w:r>
          </w:p>
        </w:tc>
        <w:tc>
          <w:tcPr>
            <w:tcW w:w="190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9"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5</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内业负责人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负责内业工作</w:t>
            </w:r>
          </w:p>
        </w:tc>
        <w:tc>
          <w:tcPr>
            <w:tcW w:w="1594"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sz w:val="20"/>
                <w:szCs w:val="20"/>
              </w:rPr>
              <w:t>1</w:t>
            </w:r>
          </w:p>
        </w:tc>
        <w:tc>
          <w:tcPr>
            <w:tcW w:w="1901"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left w:val="nil"/>
              <w:bottom w:val="nil"/>
              <w:right w:val="nil"/>
              <w:tl2br w:val="nil"/>
              <w:tr2bl w:val="nil"/>
            </w:tcBorders>
            <w:tcMar>
              <w:top w:w="15" w:type="dxa"/>
              <w:left w:w="15" w:type="dxa"/>
              <w:right w:w="15" w:type="dxa"/>
            </w:tcMar>
            <w:vAlign w:val="center"/>
          </w:tcPr>
          <w:p>
            <w:pPr>
              <w:widowControl/>
              <w:ind w:left="360" w:hanging="360" w:hangingChars="200"/>
              <w:jc w:val="left"/>
              <w:textAlignment w:val="center"/>
              <w:rPr>
                <w:rFonts w:ascii="宋体" w:hAnsi="宋体" w:cs="宋体"/>
                <w:sz w:val="20"/>
                <w:szCs w:val="20"/>
              </w:rPr>
            </w:pPr>
            <w:r>
              <w:rPr>
                <w:rFonts w:hint="eastAsia" w:ascii="宋体" w:hAnsi="宋体" w:cs="宋体"/>
                <w:kern w:val="0"/>
                <w:sz w:val="18"/>
                <w:szCs w:val="18"/>
              </w:rPr>
              <w:t xml:space="preserve">注：1、本表为主要人员的最低要求，投标人应根据施工需要或招标人的要求增加相关专业技术人员。 </w:t>
            </w:r>
            <w:r>
              <w:rPr>
                <w:rFonts w:hint="eastAsia" w:ascii="宋体" w:hAnsi="宋体" w:cs="宋体"/>
                <w:kern w:val="0"/>
                <w:sz w:val="18"/>
                <w:szCs w:val="18"/>
              </w:rPr>
              <w:br w:type="textWrapping"/>
            </w:r>
            <w:r>
              <w:rPr>
                <w:rFonts w:hint="eastAsia" w:ascii="宋体" w:hAnsi="宋体" w:cs="宋体"/>
                <w:kern w:val="0"/>
                <w:sz w:val="18"/>
                <w:szCs w:val="18"/>
              </w:rPr>
              <w:t>2、如因投标人的原因(除不可抗拒因素外)更换上述主要人员，须报请招标人批准，更换人员的资质不能低于招标文件要求，自行更换主要负责人的，对投标人按每人次课以50万元人民币违约金。</w:t>
            </w:r>
            <w:r>
              <w:rPr>
                <w:rFonts w:hint="eastAsia" w:ascii="宋体" w:hAnsi="宋体" w:cs="宋体"/>
                <w:kern w:val="0"/>
                <w:sz w:val="18"/>
                <w:szCs w:val="18"/>
              </w:rPr>
              <w:br w:type="textWrapping"/>
            </w:r>
            <w:r>
              <w:rPr>
                <w:rFonts w:hint="eastAsia" w:ascii="宋体" w:hAnsi="宋体" w:cs="宋体"/>
                <w:kern w:val="0"/>
                <w:sz w:val="18"/>
                <w:szCs w:val="18"/>
              </w:rPr>
              <w:t>3、相关管理人员及技术人员必须在岗，有特殊情况离岗必须向项目部请假并得到批准。</w:t>
            </w:r>
          </w:p>
        </w:tc>
      </w:tr>
    </w:tbl>
    <w:p>
      <w:pPr>
        <w:jc w:val="left"/>
        <w:rPr>
          <w:rFonts w:ascii="宋体" w:hAnsi="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ascii="宋体" w:hAnsi="宋体" w:eastAsia="宋体" w:cs="宋体"/>
          <w:b/>
          <w:sz w:val="28"/>
          <w:szCs w:val="28"/>
        </w:rPr>
      </w:pPr>
    </w:p>
    <w:p>
      <w:pPr>
        <w:pStyle w:val="2"/>
        <w:ind w:firstLine="0"/>
        <w:jc w:val="left"/>
        <w:rPr>
          <w:rFonts w:hint="eastAsia" w:ascii="宋体" w:hAnsi="宋体" w:eastAsia="宋体" w:cs="宋体"/>
          <w:b/>
          <w:sz w:val="28"/>
          <w:szCs w:val="28"/>
        </w:rPr>
      </w:pPr>
    </w:p>
    <w:p>
      <w:pPr>
        <w:pStyle w:val="2"/>
        <w:ind w:firstLine="0"/>
        <w:jc w:val="left"/>
        <w:rPr>
          <w:rFonts w:ascii="宋体" w:hAnsi="宋体" w:eastAsia="宋体" w:cs="宋体"/>
          <w:b/>
          <w:sz w:val="28"/>
          <w:szCs w:val="28"/>
        </w:rPr>
      </w:pPr>
      <w:r>
        <w:rPr>
          <w:rFonts w:hint="eastAsia" w:ascii="宋体" w:hAnsi="宋体" w:eastAsia="宋体" w:cs="宋体"/>
          <w:b/>
          <w:sz w:val="28"/>
          <w:szCs w:val="28"/>
        </w:rPr>
        <w:t>附表四</w:t>
      </w:r>
    </w:p>
    <w:tbl>
      <w:tblPr>
        <w:tblStyle w:val="25"/>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536" w:hRule="atLeast"/>
        </w:trPr>
        <w:tc>
          <w:tcPr>
            <w:tcW w:w="10020" w:type="dxa"/>
            <w:tcBorders>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rPr>
            </w:pPr>
            <w:r>
              <w:rPr>
                <w:rFonts w:hint="eastAsia" w:ascii="仿宋" w:hAnsi="仿宋" w:eastAsia="仿宋" w:cs="仿宋"/>
                <w:b/>
                <w:bCs/>
                <w:sz w:val="28"/>
                <w:szCs w:val="28"/>
                <w:lang w:eastAsia="zh-CN"/>
              </w:rPr>
              <w:t>G76 厦蓉高速（纳黔）路面预防性养护工程</w:t>
            </w:r>
            <w:r>
              <w:rPr>
                <w:rFonts w:hint="eastAsia" w:ascii="仿宋" w:hAnsi="仿宋" w:eastAsia="仿宋" w:cs="仿宋"/>
                <w:b/>
                <w:bCs/>
                <w:sz w:val="28"/>
                <w:szCs w:val="28"/>
              </w:rPr>
              <w:t>劳务合作项目</w:t>
            </w:r>
          </w:p>
          <w:p>
            <w:pPr>
              <w:widowControl/>
              <w:jc w:val="center"/>
              <w:textAlignment w:val="center"/>
              <w:rPr>
                <w:rFonts w:ascii="宋体" w:hAnsi="宋体" w:cs="宋体"/>
                <w:b/>
                <w:sz w:val="28"/>
                <w:szCs w:val="28"/>
              </w:rPr>
            </w:pPr>
            <w:r>
              <w:rPr>
                <w:rFonts w:hint="eastAsia" w:ascii="仿宋" w:hAnsi="仿宋" w:eastAsia="仿宋" w:cs="仿宋"/>
                <w:b/>
                <w:bCs/>
                <w:sz w:val="28"/>
                <w:szCs w:val="28"/>
              </w:rPr>
              <w:t>拟</w:t>
            </w:r>
            <w:r>
              <w:rPr>
                <w:rFonts w:hint="eastAsia" w:ascii="仿宋" w:hAnsi="仿宋" w:eastAsia="仿宋" w:cs="仿宋"/>
                <w:b/>
                <w:kern w:val="0"/>
                <w:sz w:val="28"/>
                <w:szCs w:val="28"/>
              </w:rPr>
              <w:t>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7878" w:hRule="atLeast"/>
        </w:trPr>
        <w:tc>
          <w:tcPr>
            <w:tcW w:w="10020" w:type="dxa"/>
            <w:tcBorders>
              <w:tl2br w:val="nil"/>
              <w:tr2bl w:val="nil"/>
            </w:tcBorders>
            <w:tcMar>
              <w:top w:w="15" w:type="dxa"/>
              <w:left w:w="15" w:type="dxa"/>
              <w:right w:w="15" w:type="dxa"/>
            </w:tcMar>
            <w:vAlign w:val="center"/>
          </w:tcPr>
          <w:tbl>
            <w:tblPr>
              <w:tblStyle w:val="25"/>
              <w:tblpPr w:leftFromText="180" w:rightFromText="180" w:vertAnchor="text" w:horzAnchor="page" w:tblpXSpec="center" w:tblpY="-2073"/>
              <w:tblOverlap w:val="never"/>
              <w:tblW w:w="9995" w:type="dxa"/>
              <w:jc w:val="center"/>
              <w:tblLayout w:type="fixed"/>
              <w:tblCellMar>
                <w:top w:w="0" w:type="dxa"/>
                <w:left w:w="108" w:type="dxa"/>
                <w:bottom w:w="0" w:type="dxa"/>
                <w:right w:w="108" w:type="dxa"/>
              </w:tblCellMar>
            </w:tblPr>
            <w:tblGrid>
              <w:gridCol w:w="692"/>
              <w:gridCol w:w="1489"/>
              <w:gridCol w:w="1278"/>
              <w:gridCol w:w="661"/>
              <w:gridCol w:w="900"/>
              <w:gridCol w:w="958"/>
              <w:gridCol w:w="875"/>
              <w:gridCol w:w="724"/>
              <w:gridCol w:w="1087"/>
              <w:gridCol w:w="1331"/>
            </w:tblGrid>
            <w:tr>
              <w:tblPrEx>
                <w:tblCellMar>
                  <w:top w:w="0" w:type="dxa"/>
                  <w:left w:w="108" w:type="dxa"/>
                  <w:bottom w:w="0" w:type="dxa"/>
                  <w:right w:w="108" w:type="dxa"/>
                </w:tblCellMar>
              </w:tblPrEx>
              <w:trPr>
                <w:trHeight w:val="567" w:hRule="atLeast"/>
                <w:jc w:val="center"/>
              </w:trPr>
              <w:tc>
                <w:tcPr>
                  <w:tcW w:w="692" w:type="dxa"/>
                  <w:vMerge w:val="restart"/>
                  <w:tcBorders>
                    <w:top w:val="single" w:color="000000" w:sz="4" w:space="0"/>
                    <w:left w:val="single" w:color="000000" w:sz="4" w:space="0"/>
                    <w:right w:val="single" w:color="000000" w:sz="4" w:space="0"/>
                    <w:tl2br w:val="nil"/>
                    <w:tr2bl w:val="nil"/>
                  </w:tcBorders>
                  <w:vAlign w:val="center"/>
                </w:tcPr>
                <w:p>
                  <w:pPr>
                    <w:widowControl/>
                    <w:jc w:val="center"/>
                  </w:pPr>
                  <w:r>
                    <w:rPr>
                      <w:rFonts w:hint="eastAsia"/>
                    </w:rPr>
                    <w:t>序号</w:t>
                  </w:r>
                </w:p>
              </w:tc>
              <w:tc>
                <w:tcPr>
                  <w:tcW w:w="1489" w:type="dxa"/>
                  <w:vMerge w:val="restart"/>
                  <w:tcBorders>
                    <w:top w:val="single" w:color="000000" w:sz="4" w:space="0"/>
                    <w:left w:val="single" w:color="000000" w:sz="4" w:space="0"/>
                    <w:right w:val="single" w:color="000000" w:sz="4" w:space="0"/>
                    <w:tl2br w:val="nil"/>
                    <w:tr2bl w:val="nil"/>
                  </w:tcBorders>
                  <w:vAlign w:val="center"/>
                </w:tcPr>
                <w:p>
                  <w:pPr>
                    <w:widowControl/>
                    <w:jc w:val="center"/>
                  </w:pPr>
                  <w:r>
                    <w:rPr>
                      <w:rFonts w:hint="eastAsia"/>
                    </w:rPr>
                    <w:t>机械设备名称</w:t>
                  </w:r>
                </w:p>
              </w:tc>
              <w:tc>
                <w:tcPr>
                  <w:tcW w:w="1278" w:type="dxa"/>
                  <w:vMerge w:val="restart"/>
                  <w:tcBorders>
                    <w:top w:val="single" w:color="000000" w:sz="4" w:space="0"/>
                    <w:left w:val="single" w:color="000000" w:sz="4" w:space="0"/>
                    <w:right w:val="single" w:color="000000" w:sz="4" w:space="0"/>
                    <w:tl2br w:val="nil"/>
                    <w:tr2bl w:val="nil"/>
                  </w:tcBorders>
                  <w:vAlign w:val="center"/>
                </w:tcPr>
                <w:p>
                  <w:pPr>
                    <w:widowControl/>
                    <w:jc w:val="left"/>
                  </w:pPr>
                  <w:r>
                    <w:rPr>
                      <w:rFonts w:hint="eastAsia"/>
                    </w:rPr>
                    <w:t>规格、型号</w:t>
                  </w:r>
                </w:p>
              </w:tc>
              <w:tc>
                <w:tcPr>
                  <w:tcW w:w="661" w:type="dxa"/>
                  <w:vMerge w:val="restart"/>
                  <w:tcBorders>
                    <w:top w:val="single" w:color="000000" w:sz="4" w:space="0"/>
                    <w:left w:val="single" w:color="000000" w:sz="4" w:space="0"/>
                    <w:right w:val="single" w:color="000000" w:sz="4" w:space="0"/>
                    <w:tl2br w:val="nil"/>
                    <w:tr2bl w:val="nil"/>
                  </w:tcBorders>
                  <w:vAlign w:val="center"/>
                </w:tcPr>
                <w:p>
                  <w:pPr>
                    <w:widowControl/>
                    <w:jc w:val="center"/>
                  </w:pPr>
                  <w:r>
                    <w:rPr>
                      <w:rFonts w:hint="eastAsia"/>
                    </w:rPr>
                    <w:t>单位</w:t>
                  </w:r>
                </w:p>
              </w:tc>
              <w:tc>
                <w:tcPr>
                  <w:tcW w:w="1858" w:type="dxa"/>
                  <w:gridSpan w:val="2"/>
                  <w:tcBorders>
                    <w:top w:val="single" w:color="000000" w:sz="4" w:space="0"/>
                    <w:left w:val="single" w:color="000000" w:sz="4" w:space="0"/>
                    <w:bottom w:val="single" w:color="000000" w:sz="4" w:space="0"/>
                    <w:right w:val="single" w:color="000000" w:sz="4" w:space="0"/>
                    <w:tl2br w:val="nil"/>
                    <w:tr2bl w:val="nil"/>
                  </w:tcBorders>
                  <w:vAlign w:val="center"/>
                </w:tcPr>
                <w:p>
                  <w:pPr>
                    <w:jc w:val="center"/>
                    <w:rPr>
                      <w:rFonts w:hint="default" w:eastAsia="宋体"/>
                      <w:lang w:val="en-US" w:eastAsia="zh-CN"/>
                    </w:rPr>
                  </w:pPr>
                  <w:r>
                    <w:rPr>
                      <w:rFonts w:hint="eastAsia"/>
                    </w:rPr>
                    <w:t>基本要求数量</w:t>
                  </w:r>
                </w:p>
              </w:tc>
              <w:tc>
                <w:tcPr>
                  <w:tcW w:w="875" w:type="dxa"/>
                  <w:vMerge w:val="restart"/>
                  <w:tcBorders>
                    <w:top w:val="single" w:color="000000" w:sz="4" w:space="0"/>
                    <w:left w:val="single" w:color="000000" w:sz="4" w:space="0"/>
                    <w:right w:val="single" w:color="000000" w:sz="4" w:space="0"/>
                    <w:tl2br w:val="nil"/>
                    <w:tr2bl w:val="nil"/>
                  </w:tcBorders>
                  <w:vAlign w:val="center"/>
                </w:tcPr>
                <w:p>
                  <w:pPr>
                    <w:jc w:val="center"/>
                  </w:pPr>
                  <w:r>
                    <w:rPr>
                      <w:rFonts w:hint="eastAsia"/>
                    </w:rPr>
                    <w:t>每增加一台自有设备加分值</w:t>
                  </w:r>
                </w:p>
              </w:tc>
              <w:tc>
                <w:tcPr>
                  <w:tcW w:w="724" w:type="dxa"/>
                  <w:vMerge w:val="restart"/>
                  <w:tcBorders>
                    <w:top w:val="single" w:color="000000" w:sz="4" w:space="0"/>
                    <w:left w:val="single" w:color="000000" w:sz="4" w:space="0"/>
                    <w:right w:val="single" w:color="000000" w:sz="4" w:space="0"/>
                    <w:tl2br w:val="nil"/>
                    <w:tr2bl w:val="nil"/>
                  </w:tcBorders>
                  <w:vAlign w:val="center"/>
                </w:tcPr>
                <w:p>
                  <w:pPr>
                    <w:jc w:val="center"/>
                  </w:pPr>
                  <w:r>
                    <w:rPr>
                      <w:rFonts w:hint="eastAsia"/>
                    </w:rPr>
                    <w:t>加分上限</w:t>
                  </w:r>
                </w:p>
              </w:tc>
              <w:tc>
                <w:tcPr>
                  <w:tcW w:w="1087" w:type="dxa"/>
                  <w:vMerge w:val="restart"/>
                  <w:tcBorders>
                    <w:top w:val="single" w:color="000000" w:sz="4" w:space="0"/>
                    <w:left w:val="single" w:color="000000" w:sz="4" w:space="0"/>
                    <w:right w:val="single" w:color="000000" w:sz="4" w:space="0"/>
                    <w:tl2br w:val="nil"/>
                    <w:tr2bl w:val="nil"/>
                  </w:tcBorders>
                  <w:vAlign w:val="center"/>
                </w:tcPr>
                <w:p>
                  <w:pPr>
                    <w:widowControl/>
                    <w:jc w:val="center"/>
                  </w:pPr>
                  <w:r>
                    <w:rPr>
                      <w:rFonts w:hint="eastAsia"/>
                    </w:rPr>
                    <w:t>出厂日期</w:t>
                  </w:r>
                </w:p>
              </w:tc>
              <w:tc>
                <w:tcPr>
                  <w:tcW w:w="1331" w:type="dxa"/>
                  <w:vMerge w:val="restart"/>
                  <w:tcBorders>
                    <w:top w:val="single" w:color="000000" w:sz="4" w:space="0"/>
                    <w:left w:val="single" w:color="000000" w:sz="4" w:space="0"/>
                    <w:right w:val="single" w:color="000000" w:sz="4" w:space="0"/>
                    <w:tl2br w:val="nil"/>
                    <w:tr2bl w:val="nil"/>
                  </w:tcBorders>
                  <w:vAlign w:val="center"/>
                </w:tcPr>
                <w:p>
                  <w:pPr>
                    <w:widowControl/>
                    <w:jc w:val="center"/>
                  </w:pPr>
                  <w:r>
                    <w:rPr>
                      <w:rFonts w:hint="eastAsia"/>
                    </w:rPr>
                    <w:t>备注</w:t>
                  </w:r>
                </w:p>
              </w:tc>
            </w:tr>
            <w:tr>
              <w:tblPrEx>
                <w:tblCellMar>
                  <w:top w:w="0" w:type="dxa"/>
                  <w:left w:w="108" w:type="dxa"/>
                  <w:bottom w:w="0" w:type="dxa"/>
                  <w:right w:w="108" w:type="dxa"/>
                </w:tblCellMar>
              </w:tblPrEx>
              <w:trPr>
                <w:trHeight w:val="567" w:hRule="atLeast"/>
                <w:jc w:val="center"/>
              </w:trPr>
              <w:tc>
                <w:tcPr>
                  <w:tcW w:w="692" w:type="dxa"/>
                  <w:vMerge w:val="continue"/>
                  <w:tcBorders>
                    <w:left w:val="single" w:color="000000" w:sz="4" w:space="0"/>
                    <w:bottom w:val="single" w:color="auto" w:sz="4" w:space="0"/>
                    <w:right w:val="single" w:color="000000" w:sz="4" w:space="0"/>
                    <w:tl2br w:val="nil"/>
                    <w:tr2bl w:val="nil"/>
                  </w:tcBorders>
                  <w:vAlign w:val="center"/>
                </w:tcPr>
                <w:p>
                  <w:pPr>
                    <w:widowControl/>
                    <w:jc w:val="center"/>
                  </w:pPr>
                </w:p>
              </w:tc>
              <w:tc>
                <w:tcPr>
                  <w:tcW w:w="1489" w:type="dxa"/>
                  <w:vMerge w:val="continue"/>
                  <w:tcBorders>
                    <w:left w:val="single" w:color="000000" w:sz="4" w:space="0"/>
                    <w:bottom w:val="single" w:color="auto" w:sz="4" w:space="0"/>
                    <w:right w:val="single" w:color="000000" w:sz="4" w:space="0"/>
                    <w:tl2br w:val="nil"/>
                    <w:tr2bl w:val="nil"/>
                  </w:tcBorders>
                  <w:vAlign w:val="center"/>
                </w:tcPr>
                <w:p>
                  <w:pPr>
                    <w:widowControl/>
                    <w:jc w:val="center"/>
                  </w:pPr>
                </w:p>
              </w:tc>
              <w:tc>
                <w:tcPr>
                  <w:tcW w:w="1278" w:type="dxa"/>
                  <w:vMerge w:val="continue"/>
                  <w:tcBorders>
                    <w:left w:val="single" w:color="000000" w:sz="4" w:space="0"/>
                    <w:bottom w:val="single" w:color="auto" w:sz="4" w:space="0"/>
                    <w:right w:val="single" w:color="000000" w:sz="4" w:space="0"/>
                    <w:tl2br w:val="nil"/>
                    <w:tr2bl w:val="nil"/>
                  </w:tcBorders>
                  <w:vAlign w:val="center"/>
                </w:tcPr>
                <w:p>
                  <w:pPr>
                    <w:widowControl/>
                    <w:jc w:val="center"/>
                  </w:pPr>
                </w:p>
              </w:tc>
              <w:tc>
                <w:tcPr>
                  <w:tcW w:w="661" w:type="dxa"/>
                  <w:vMerge w:val="continue"/>
                  <w:tcBorders>
                    <w:left w:val="single" w:color="000000" w:sz="4" w:space="0"/>
                    <w:bottom w:val="single" w:color="auto" w:sz="4" w:space="0"/>
                    <w:right w:val="single" w:color="000000" w:sz="4" w:space="0"/>
                    <w:tl2br w:val="nil"/>
                    <w:tr2bl w:val="nil"/>
                  </w:tcBorders>
                  <w:vAlign w:val="center"/>
                </w:tcPr>
                <w:p>
                  <w:pPr>
                    <w:widowControl/>
                    <w:jc w:val="center"/>
                  </w:pPr>
                </w:p>
              </w:tc>
              <w:tc>
                <w:tcPr>
                  <w:tcW w:w="900" w:type="dxa"/>
                  <w:tcBorders>
                    <w:top w:val="single" w:color="000000" w:sz="4" w:space="0"/>
                    <w:left w:val="single" w:color="000000" w:sz="4" w:space="0"/>
                    <w:bottom w:val="single" w:color="auto" w:sz="4" w:space="0"/>
                    <w:right w:val="single" w:color="000000" w:sz="4" w:space="0"/>
                    <w:tl2br w:val="nil"/>
                    <w:tr2bl w:val="nil"/>
                  </w:tcBorders>
                  <w:vAlign w:val="center"/>
                </w:tcPr>
                <w:p>
                  <w:pPr>
                    <w:widowControl/>
                    <w:numPr>
                      <w:ilvl w:val="255"/>
                      <w:numId w:val="0"/>
                    </w:numPr>
                    <w:jc w:val="center"/>
                  </w:pPr>
                  <w:r>
                    <w:rPr>
                      <w:rFonts w:hint="eastAsia"/>
                    </w:rPr>
                    <w:t>总数量</w:t>
                  </w:r>
                </w:p>
              </w:tc>
              <w:tc>
                <w:tcPr>
                  <w:tcW w:w="958" w:type="dxa"/>
                  <w:tcBorders>
                    <w:left w:val="single" w:color="000000" w:sz="4" w:space="0"/>
                    <w:bottom w:val="single" w:color="auto" w:sz="4" w:space="0"/>
                    <w:right w:val="single" w:color="000000" w:sz="4" w:space="0"/>
                    <w:tl2br w:val="nil"/>
                    <w:tr2bl w:val="nil"/>
                  </w:tcBorders>
                  <w:vAlign w:val="center"/>
                </w:tcPr>
                <w:p>
                  <w:pPr>
                    <w:widowControl/>
                    <w:tabs>
                      <w:tab w:val="left" w:pos="567"/>
                    </w:tabs>
                    <w:jc w:val="left"/>
                    <w:rPr>
                      <w:rFonts w:hint="eastAsia" w:eastAsia="宋体"/>
                      <w:lang w:eastAsia="zh-CN"/>
                    </w:rPr>
                  </w:pPr>
                  <w:r>
                    <w:rPr>
                      <w:rFonts w:hint="eastAsia"/>
                      <w:lang w:val="en-US" w:eastAsia="zh-CN"/>
                    </w:rPr>
                    <w:t>自有设备数量</w:t>
                  </w:r>
                </w:p>
              </w:tc>
              <w:tc>
                <w:tcPr>
                  <w:tcW w:w="875" w:type="dxa"/>
                  <w:vMerge w:val="continue"/>
                  <w:tcBorders>
                    <w:left w:val="single" w:color="000000" w:sz="4" w:space="0"/>
                    <w:bottom w:val="single" w:color="auto" w:sz="4" w:space="0"/>
                    <w:right w:val="single" w:color="000000" w:sz="4" w:space="0"/>
                    <w:tl2br w:val="nil"/>
                    <w:tr2bl w:val="nil"/>
                  </w:tcBorders>
                  <w:vAlign w:val="center"/>
                </w:tcPr>
                <w:p>
                  <w:pPr>
                    <w:widowControl/>
                    <w:jc w:val="center"/>
                  </w:pPr>
                </w:p>
              </w:tc>
              <w:tc>
                <w:tcPr>
                  <w:tcW w:w="724" w:type="dxa"/>
                  <w:vMerge w:val="continue"/>
                  <w:tcBorders>
                    <w:left w:val="single" w:color="000000" w:sz="4" w:space="0"/>
                    <w:bottom w:val="single" w:color="auto" w:sz="4" w:space="0"/>
                    <w:right w:val="single" w:color="000000" w:sz="4" w:space="0"/>
                    <w:tl2br w:val="nil"/>
                    <w:tr2bl w:val="nil"/>
                  </w:tcBorders>
                  <w:vAlign w:val="center"/>
                </w:tcPr>
                <w:p>
                  <w:pPr>
                    <w:widowControl/>
                    <w:jc w:val="center"/>
                  </w:pPr>
                </w:p>
              </w:tc>
              <w:tc>
                <w:tcPr>
                  <w:tcW w:w="1087" w:type="dxa"/>
                  <w:vMerge w:val="continue"/>
                  <w:tcBorders>
                    <w:left w:val="single" w:color="000000" w:sz="4" w:space="0"/>
                    <w:bottom w:val="single" w:color="auto" w:sz="4" w:space="0"/>
                    <w:right w:val="single" w:color="000000" w:sz="4" w:space="0"/>
                    <w:tl2br w:val="nil"/>
                    <w:tr2bl w:val="nil"/>
                  </w:tcBorders>
                  <w:vAlign w:val="center"/>
                </w:tcPr>
                <w:p>
                  <w:pPr>
                    <w:widowControl/>
                    <w:jc w:val="center"/>
                  </w:pPr>
                </w:p>
              </w:tc>
              <w:tc>
                <w:tcPr>
                  <w:tcW w:w="1331" w:type="dxa"/>
                  <w:vMerge w:val="continue"/>
                  <w:tcBorders>
                    <w:left w:val="single" w:color="000000" w:sz="4" w:space="0"/>
                    <w:bottom w:val="single" w:color="auto" w:sz="4" w:space="0"/>
                    <w:right w:val="single" w:color="000000" w:sz="4" w:space="0"/>
                    <w:tl2br w:val="nil"/>
                    <w:tr2bl w:val="nil"/>
                  </w:tcBorders>
                  <w:vAlign w:val="center"/>
                </w:tcPr>
                <w:p>
                  <w:pPr>
                    <w:widowControl/>
                    <w:jc w:val="center"/>
                  </w:pPr>
                </w:p>
              </w:tc>
            </w:tr>
            <w:tr>
              <w:tblPrEx>
                <w:tblCellMar>
                  <w:top w:w="0" w:type="dxa"/>
                  <w:left w:w="108" w:type="dxa"/>
                  <w:bottom w:w="0" w:type="dxa"/>
                  <w:right w:w="108" w:type="dxa"/>
                </w:tblCellMar>
              </w:tblPrEx>
              <w:trPr>
                <w:trHeight w:val="484"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铣刨机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W2000（进口或国产设备）</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val="en-US" w:eastAsia="zh-CN"/>
                    </w:rPr>
                    <w:t>2</w:t>
                  </w:r>
                </w:p>
              </w:tc>
              <w:tc>
                <w:tcPr>
                  <w:tcW w:w="958"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eastAsia="宋体"/>
                      <w:highlight w:val="none"/>
                      <w:lang w:val="en-US" w:eastAsia="zh-CN"/>
                    </w:rPr>
                  </w:pPr>
                  <w:r>
                    <w:rPr>
                      <w:rFonts w:hint="eastAsia"/>
                      <w:highlight w:val="none"/>
                      <w:lang w:val="en-US" w:eastAsia="zh-CN"/>
                    </w:rPr>
                    <w:t>0</w:t>
                  </w:r>
                </w:p>
              </w:tc>
              <w:tc>
                <w:tcPr>
                  <w:tcW w:w="875" w:type="dxa"/>
                  <w:tcBorders>
                    <w:top w:val="single" w:color="auto" w:sz="4" w:space="0"/>
                    <w:left w:val="single" w:color="auto" w:sz="4" w:space="0"/>
                    <w:bottom w:val="single" w:color="auto" w:sz="4" w:space="0"/>
                    <w:right w:val="single" w:color="auto" w:sz="4" w:space="0"/>
                  </w:tcBorders>
                  <w:vAlign w:val="center"/>
                </w:tcPr>
                <w:p>
                  <w:pPr>
                    <w:widowControl/>
                    <w:jc w:val="center"/>
                  </w:pPr>
                  <w:r>
                    <w:t>0.5</w:t>
                  </w:r>
                </w:p>
              </w:tc>
              <w:tc>
                <w:tcPr>
                  <w:tcW w:w="724" w:type="dxa"/>
                  <w:tcBorders>
                    <w:top w:val="single" w:color="auto" w:sz="4" w:space="0"/>
                    <w:left w:val="single" w:color="auto" w:sz="4" w:space="0"/>
                    <w:bottom w:val="single" w:color="auto" w:sz="4" w:space="0"/>
                    <w:right w:val="single" w:color="auto" w:sz="4" w:space="0"/>
                  </w:tcBorders>
                  <w:vAlign w:val="center"/>
                </w:tcPr>
                <w:p>
                  <w:pPr>
                    <w:widowControl/>
                    <w:jc w:val="center"/>
                  </w:pPr>
                  <w:r>
                    <w:t>0.5</w:t>
                  </w:r>
                </w:p>
              </w:tc>
              <w:tc>
                <w:tcPr>
                  <w:tcW w:w="108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60" w:lineRule="exact"/>
                    <w:ind w:right="5"/>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2018年1月后</w:t>
                  </w:r>
                </w:p>
              </w:tc>
              <w:tc>
                <w:tcPr>
                  <w:tcW w:w="1331" w:type="dxa"/>
                  <w:vMerge w:val="restart"/>
                  <w:tcBorders>
                    <w:top w:val="single" w:color="auto" w:sz="4" w:space="0"/>
                    <w:left w:val="single" w:color="auto" w:sz="4" w:space="0"/>
                    <w:bottom w:val="single" w:color="auto" w:sz="4" w:space="0"/>
                    <w:right w:val="single" w:color="auto" w:sz="4" w:space="0"/>
                  </w:tcBorders>
                  <w:vAlign w:val="center"/>
                </w:tcPr>
                <w:p>
                  <w:pPr>
                    <w:widowControl/>
                    <w:spacing w:line="260" w:lineRule="exact"/>
                    <w:ind w:right="5"/>
                    <w:jc w:val="center"/>
                    <w:textAlignment w:val="center"/>
                    <w:rPr>
                      <w:rFonts w:asciiTheme="minorEastAsia" w:hAnsiTheme="minorEastAsia" w:eastAsiaTheme="minorEastAsia" w:cstheme="minorEastAsia"/>
                    </w:rPr>
                  </w:pPr>
                  <w:r>
                    <w:rPr>
                      <w:rFonts w:hint="eastAsia" w:asciiTheme="minorEastAsia" w:hAnsiTheme="minorEastAsia" w:eastAsiaTheme="minorEastAsia" w:cstheme="minorEastAsia"/>
                    </w:rPr>
                    <w:t>自有设备需提供购买发票</w:t>
                  </w:r>
                </w:p>
              </w:tc>
            </w:tr>
            <w:tr>
              <w:tblPrEx>
                <w:tblCellMar>
                  <w:top w:w="0" w:type="dxa"/>
                  <w:left w:w="108" w:type="dxa"/>
                  <w:bottom w:w="0" w:type="dxa"/>
                  <w:right w:w="108" w:type="dxa"/>
                </w:tblCellMar>
              </w:tblPrEx>
              <w:trPr>
                <w:trHeight w:val="506"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清扫机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lang w:val="en-US" w:eastAsia="zh-CN"/>
                    </w:rPr>
                  </w:pPr>
                  <w:r>
                    <w:rPr>
                      <w:rFonts w:hint="eastAsia"/>
                      <w:lang w:val="en-US" w:eastAsia="zh-CN"/>
                    </w:rPr>
                    <w:t>S350或国产设备</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eastAsia="宋体"/>
                      <w:highlight w:val="none"/>
                      <w:lang w:val="en-US" w:eastAsia="zh-CN"/>
                    </w:rPr>
                  </w:pPr>
                  <w:r>
                    <w:rPr>
                      <w:rFonts w:hint="eastAsia"/>
                      <w:highlight w:val="none"/>
                      <w:lang w:val="en-US" w:eastAsia="zh-CN"/>
                    </w:rPr>
                    <w:t>0</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CellMar>
                  <w:top w:w="0" w:type="dxa"/>
                  <w:left w:w="108" w:type="dxa"/>
                  <w:bottom w:w="0" w:type="dxa"/>
                  <w:right w:w="108" w:type="dxa"/>
                </w:tblCellMar>
              </w:tblPrEx>
              <w:trPr>
                <w:trHeight w:val="562"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val="en-US" w:eastAsia="zh-CN"/>
                    </w:rPr>
                    <w:t>沥青砼</w:t>
                  </w:r>
                  <w:r>
                    <w:rPr>
                      <w:rFonts w:hint="eastAsia" w:asciiTheme="minorEastAsia" w:hAnsiTheme="minorEastAsia" w:eastAsiaTheme="minorEastAsia" w:cstheme="minorEastAsia"/>
                      <w:szCs w:val="21"/>
                      <w:highlight w:val="none"/>
                    </w:rPr>
                    <w:t>摊铺机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S1800-2或同规格设备</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2</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eastAsia="宋体"/>
                      <w:highlight w:val="none"/>
                      <w:lang w:val="en-US" w:eastAsia="zh-CN"/>
                    </w:rPr>
                  </w:pPr>
                  <w:r>
                    <w:rPr>
                      <w:rFonts w:hint="eastAsia"/>
                      <w:highlight w:val="none"/>
                      <w:lang w:val="en-US" w:eastAsia="zh-CN"/>
                    </w:rPr>
                    <w:t>0</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r>
                    <w:t>0.5</w:t>
                  </w: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r>
                    <w:t>0.5</w:t>
                  </w: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CellMar>
                  <w:top w:w="0" w:type="dxa"/>
                  <w:left w:w="108" w:type="dxa"/>
                  <w:bottom w:w="0" w:type="dxa"/>
                  <w:right w:w="108" w:type="dxa"/>
                </w:tblCellMar>
              </w:tblPrEx>
              <w:trPr>
                <w:trHeight w:val="546"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4</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双钢轮压路机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szCs w:val="21"/>
                      <w:highlight w:val="none"/>
                      <w:lang w:val="en-US" w:eastAsia="zh-CN"/>
                    </w:rPr>
                  </w:pPr>
                  <w:r>
                    <w:rPr>
                      <w:rFonts w:hint="eastAsia" w:asciiTheme="minorEastAsia" w:hAnsiTheme="minorEastAsia" w:eastAsiaTheme="minorEastAsia" w:cstheme="minorEastAsia"/>
                      <w:szCs w:val="21"/>
                      <w:highlight w:val="none"/>
                      <w:lang w:val="en-US" w:eastAsia="zh-CN"/>
                    </w:rPr>
                    <w:t>CC6200或同规格设备</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val="en-US" w:eastAsia="zh-CN"/>
                    </w:rPr>
                    <w:t>5</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eastAsia="宋体"/>
                      <w:highlight w:val="none"/>
                      <w:lang w:val="en-US" w:eastAsia="zh-CN"/>
                    </w:rPr>
                  </w:pPr>
                  <w:r>
                    <w:rPr>
                      <w:rFonts w:hint="eastAsia"/>
                      <w:highlight w:val="none"/>
                      <w:lang w:val="en-US" w:eastAsia="zh-CN"/>
                    </w:rPr>
                    <w:t>0</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highlight w:val="none"/>
                    </w:rPr>
                  </w:pPr>
                  <w:r>
                    <w:rPr>
                      <w:highlight w:val="none"/>
                    </w:rPr>
                    <w:t>0.5</w:t>
                  </w: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highlight w:val="none"/>
                    </w:rPr>
                  </w:pPr>
                  <w:r>
                    <w:rPr>
                      <w:rFonts w:hint="eastAsia"/>
                      <w:highlight w:val="none"/>
                    </w:rPr>
                    <w:t>0</w:t>
                  </w:r>
                  <w:r>
                    <w:rPr>
                      <w:highlight w:val="none"/>
                    </w:rPr>
                    <w:t>.5</w:t>
                  </w: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CellMar>
                  <w:top w:w="0" w:type="dxa"/>
                  <w:left w:w="108" w:type="dxa"/>
                  <w:bottom w:w="0" w:type="dxa"/>
                  <w:right w:w="108" w:type="dxa"/>
                </w:tblCellMar>
              </w:tblPrEx>
              <w:trPr>
                <w:trHeight w:val="511"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轮胎压路机</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徐工302或同规格设备</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eastAsia="宋体"/>
                      <w:highlight w:val="none"/>
                      <w:lang w:val="en-US" w:eastAsia="zh-CN"/>
                    </w:rPr>
                  </w:pPr>
                  <w:r>
                    <w:rPr>
                      <w:rFonts w:hint="eastAsia"/>
                      <w:highlight w:val="none"/>
                      <w:lang w:val="en-US" w:eastAsia="zh-CN"/>
                    </w:rPr>
                    <w:t>0</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r>
                    <w:t>0.5</w:t>
                  </w: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r>
                    <w:rPr>
                      <w:rFonts w:hint="eastAsia"/>
                    </w:rPr>
                    <w:t>0</w:t>
                  </w:r>
                  <w:r>
                    <w:t>.5</w:t>
                  </w: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CellMar>
                  <w:top w:w="0" w:type="dxa"/>
                  <w:left w:w="108" w:type="dxa"/>
                  <w:bottom w:w="0" w:type="dxa"/>
                  <w:right w:w="108" w:type="dxa"/>
                </w:tblCellMar>
              </w:tblPrEx>
              <w:trPr>
                <w:trHeight w:val="532"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lang w:val="en-US" w:eastAsia="zh-CN"/>
                    </w:rPr>
                    <w:t>沥青</w:t>
                  </w:r>
                  <w:r>
                    <w:rPr>
                      <w:rFonts w:hint="eastAsia" w:asciiTheme="minorEastAsia" w:hAnsiTheme="minorEastAsia" w:eastAsiaTheme="minorEastAsia" w:cstheme="minorEastAsia"/>
                      <w:szCs w:val="21"/>
                    </w:rPr>
                    <w:t>洒布车</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智能化</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eastAsia="宋体"/>
                      <w:lang w:val="en-US" w:eastAsia="zh-CN"/>
                    </w:rPr>
                  </w:pPr>
                  <w:r>
                    <w:rPr>
                      <w:rFonts w:hint="eastAsia"/>
                      <w:lang w:val="en-US" w:eastAsia="zh-CN"/>
                    </w:rPr>
                    <w:t>0</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CellMar>
                  <w:top w:w="0" w:type="dxa"/>
                  <w:left w:w="108" w:type="dxa"/>
                  <w:bottom w:w="0" w:type="dxa"/>
                  <w:right w:w="108" w:type="dxa"/>
                </w:tblCellMar>
              </w:tblPrEx>
              <w:trPr>
                <w:trHeight w:val="543"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平板拖车</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18米</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val="en-US" w:eastAsia="zh-CN"/>
                    </w:rPr>
                    <w:t>2</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eastAsia="宋体"/>
                      <w:lang w:val="en-US" w:eastAsia="zh-CN"/>
                    </w:rPr>
                  </w:pPr>
                  <w:r>
                    <w:rPr>
                      <w:rFonts w:hint="eastAsia"/>
                      <w:lang w:val="en-US" w:eastAsia="zh-CN"/>
                    </w:rPr>
                    <w:t>0</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CellMar>
                  <w:top w:w="0" w:type="dxa"/>
                  <w:left w:w="108" w:type="dxa"/>
                  <w:bottom w:w="0" w:type="dxa"/>
                  <w:right w:w="108" w:type="dxa"/>
                </w:tblCellMar>
              </w:tblPrEx>
              <w:trPr>
                <w:trHeight w:val="543"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8</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同步封层车</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智能式</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eastAsia="宋体"/>
                      <w:lang w:val="en-US" w:eastAsia="zh-CN"/>
                    </w:rPr>
                  </w:pPr>
                  <w:r>
                    <w:rPr>
                      <w:rFonts w:hint="eastAsia"/>
                      <w:lang w:val="en-US" w:eastAsia="zh-CN"/>
                    </w:rPr>
                    <w:t>0</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CellMar>
                  <w:top w:w="0" w:type="dxa"/>
                  <w:left w:w="108" w:type="dxa"/>
                  <w:bottom w:w="0" w:type="dxa"/>
                  <w:right w:w="108" w:type="dxa"/>
                </w:tblCellMar>
              </w:tblPrEx>
              <w:trPr>
                <w:trHeight w:val="568"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val="en-US" w:eastAsia="zh-CN"/>
                    </w:rPr>
                    <w:t>9</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交通车</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eastAsia="宋体"/>
                      <w:lang w:val="en-US" w:eastAsia="zh-CN"/>
                    </w:rPr>
                  </w:pPr>
                  <w:r>
                    <w:rPr>
                      <w:rFonts w:hint="eastAsia"/>
                      <w:lang w:val="en-US" w:eastAsia="zh-CN"/>
                    </w:rPr>
                    <w:t>0</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CellMar>
                  <w:top w:w="0" w:type="dxa"/>
                  <w:left w:w="108" w:type="dxa"/>
                  <w:bottom w:w="0" w:type="dxa"/>
                  <w:right w:w="108" w:type="dxa"/>
                </w:tblCellMar>
              </w:tblPrEx>
              <w:trPr>
                <w:trHeight w:val="479"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10</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水 车</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10m³</w:t>
                  </w: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eastAsia="宋体"/>
                      <w:lang w:val="en-US" w:eastAsia="zh-CN"/>
                    </w:rPr>
                  </w:pPr>
                  <w:r>
                    <w:rPr>
                      <w:rFonts w:hint="eastAsia"/>
                      <w:lang w:val="en-US" w:eastAsia="zh-CN"/>
                    </w:rPr>
                    <w:t>0</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CellMar>
                  <w:top w:w="0" w:type="dxa"/>
                  <w:left w:w="108" w:type="dxa"/>
                  <w:bottom w:w="0" w:type="dxa"/>
                  <w:right w:w="108" w:type="dxa"/>
                </w:tblCellMar>
              </w:tblPrEx>
              <w:trPr>
                <w:trHeight w:val="532"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szCs w:val="21"/>
                      <w:lang w:val="en-US" w:eastAsia="zh-CN"/>
                    </w:rPr>
                    <w:t>1</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油 车</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1</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eastAsia="宋体"/>
                      <w:lang w:val="en-US" w:eastAsia="zh-CN"/>
                    </w:rPr>
                  </w:pPr>
                  <w:r>
                    <w:rPr>
                      <w:rFonts w:hint="eastAsia"/>
                      <w:lang w:val="en-US" w:eastAsia="zh-CN"/>
                    </w:rPr>
                    <w:t>0</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r>
              <w:tblPrEx>
                <w:tblCellMar>
                  <w:top w:w="0" w:type="dxa"/>
                  <w:left w:w="108" w:type="dxa"/>
                  <w:bottom w:w="0" w:type="dxa"/>
                  <w:right w:w="108" w:type="dxa"/>
                </w:tblCellMar>
              </w:tblPrEx>
              <w:trPr>
                <w:trHeight w:val="655" w:hRule="atLeast"/>
                <w:jc w:val="center"/>
              </w:trPr>
              <w:tc>
                <w:tcPr>
                  <w:tcW w:w="692"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szCs w:val="21"/>
                      <w:lang w:val="en-US" w:eastAsia="zh-CN"/>
                    </w:rPr>
                    <w:t>2</w:t>
                  </w:r>
                </w:p>
              </w:tc>
              <w:tc>
                <w:tcPr>
                  <w:tcW w:w="1489"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运输车</w:t>
                  </w:r>
                </w:p>
              </w:tc>
              <w:tc>
                <w:tcPr>
                  <w:tcW w:w="1278"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p>
              </w:tc>
              <w:tc>
                <w:tcPr>
                  <w:tcW w:w="661"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辆</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widowControl/>
                    <w:spacing w:line="260" w:lineRule="exact"/>
                    <w:ind w:right="5"/>
                    <w:jc w:val="center"/>
                    <w:textAlignment w:val="center"/>
                    <w:rPr>
                      <w:rFonts w:hint="default"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15</w:t>
                  </w:r>
                </w:p>
              </w:tc>
              <w:tc>
                <w:tcPr>
                  <w:tcW w:w="958"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rPr>
                      <w:rFonts w:hint="eastAsia" w:eastAsia="宋体"/>
                      <w:lang w:val="en-US" w:eastAsia="zh-CN"/>
                    </w:rPr>
                  </w:pPr>
                  <w:r>
                    <w:rPr>
                      <w:rFonts w:hint="eastAsia"/>
                      <w:lang w:val="en-US" w:eastAsia="zh-CN"/>
                    </w:rPr>
                    <w:t>0</w:t>
                  </w:r>
                </w:p>
              </w:tc>
              <w:tc>
                <w:tcPr>
                  <w:tcW w:w="875"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p>
              </w:tc>
              <w:tc>
                <w:tcPr>
                  <w:tcW w:w="724" w:type="dxa"/>
                  <w:tcBorders>
                    <w:top w:val="single" w:color="auto" w:sz="4" w:space="0"/>
                    <w:left w:val="single" w:color="auto" w:sz="4" w:space="0"/>
                    <w:bottom w:val="single" w:color="auto" w:sz="4" w:space="0"/>
                    <w:right w:val="single" w:color="auto" w:sz="4" w:space="0"/>
                    <w:tl2br w:val="nil"/>
                    <w:tr2bl w:val="nil"/>
                  </w:tcBorders>
                  <w:vAlign w:val="center"/>
                </w:tcPr>
                <w:p>
                  <w:pPr>
                    <w:widowControl/>
                    <w:jc w:val="center"/>
                  </w:pPr>
                </w:p>
              </w:tc>
              <w:tc>
                <w:tcPr>
                  <w:tcW w:w="108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c>
                <w:tcPr>
                  <w:tcW w:w="1331"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pPr>
                </w:p>
              </w:tc>
            </w:tr>
          </w:tbl>
          <w:p>
            <w:pPr>
              <w:widowControl/>
              <w:ind w:firstLine="630" w:firstLineChars="300"/>
              <w:jc w:val="left"/>
            </w:pPr>
          </w:p>
          <w:p>
            <w:pPr>
              <w:widowControl/>
              <w:ind w:firstLine="540" w:firstLineChars="300"/>
              <w:jc w:val="left"/>
              <w:rPr>
                <w:rFonts w:asciiTheme="minorEastAsia" w:hAnsiTheme="minorEastAsia" w:eastAsiaTheme="minorEastAsia" w:cstheme="minorEastAsia"/>
                <w:sz w:val="18"/>
                <w:szCs w:val="20"/>
              </w:rPr>
            </w:pPr>
            <w:r>
              <w:rPr>
                <w:rFonts w:hint="eastAsia" w:asciiTheme="minorEastAsia" w:hAnsiTheme="minorEastAsia" w:eastAsiaTheme="minorEastAsia" w:cstheme="minorEastAsia"/>
                <w:sz w:val="18"/>
                <w:szCs w:val="20"/>
              </w:rPr>
              <w:t>注：1、若监理工程师或招标人认为投标人配备的机械设备不能满足现场施工的需要，或不能保证工程质量和进度时，招标人有权要求投标人增加。</w:t>
            </w:r>
          </w:p>
          <w:p>
            <w:pPr>
              <w:widowControl/>
              <w:ind w:firstLine="540" w:firstLineChars="300"/>
              <w:jc w:val="left"/>
              <w:rPr>
                <w:rFonts w:asciiTheme="minorEastAsia" w:hAnsiTheme="minorEastAsia" w:eastAsiaTheme="minorEastAsia" w:cstheme="minorEastAsia"/>
                <w:sz w:val="18"/>
                <w:szCs w:val="20"/>
              </w:rPr>
            </w:pPr>
            <w:r>
              <w:rPr>
                <w:rFonts w:hint="eastAsia" w:asciiTheme="minorEastAsia" w:hAnsiTheme="minorEastAsia" w:eastAsiaTheme="minorEastAsia" w:cstheme="minorEastAsia"/>
                <w:sz w:val="18"/>
                <w:szCs w:val="20"/>
              </w:rPr>
              <w:t>2、本表中的总量为承包人中标后向发包人承诺的投入最低设备要求，并以书面形式纳入合同附件。</w:t>
            </w:r>
          </w:p>
          <w:p>
            <w:pPr>
              <w:widowControl/>
              <w:ind w:firstLine="542" w:firstLineChars="300"/>
              <w:jc w:val="left"/>
            </w:pPr>
            <w:r>
              <w:rPr>
                <w:rFonts w:hint="eastAsia" w:asciiTheme="minorEastAsia" w:hAnsiTheme="minorEastAsia" w:eastAsiaTheme="minorEastAsia" w:cstheme="minorEastAsia"/>
                <w:b/>
                <w:bCs/>
                <w:sz w:val="18"/>
                <w:szCs w:val="20"/>
              </w:rPr>
              <w:t>3、自有设备需提供购买发票,投标人需保证发票真实有效，若投标人提供的发票网上查验为虚假发票，作废标处理。</w:t>
            </w:r>
          </w:p>
        </w:tc>
      </w:tr>
    </w:tbl>
    <w:tbl>
      <w:tblPr>
        <w:tblStyle w:val="25"/>
        <w:tblpPr w:leftFromText="180" w:rightFromText="180" w:vertAnchor="text" w:horzAnchor="page" w:tblpX="1074" w:tblpY="28"/>
        <w:tblOverlap w:val="never"/>
        <w:tblW w:w="1002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1002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0" w:hRule="atLeast"/>
        </w:trPr>
        <w:tc>
          <w:tcPr>
            <w:tcW w:w="10020" w:type="dxa"/>
            <w:tcBorders>
              <w:tl2br w:val="nil"/>
              <w:tr2bl w:val="nil"/>
            </w:tcBorders>
            <w:tcMar>
              <w:top w:w="15" w:type="dxa"/>
              <w:left w:w="15" w:type="dxa"/>
              <w:right w:w="15" w:type="dxa"/>
            </w:tcMar>
            <w:vAlign w:val="center"/>
          </w:tcPr>
          <w:p>
            <w:pPr>
              <w:widowControl/>
              <w:jc w:val="center"/>
              <w:textAlignment w:val="center"/>
            </w:pPr>
            <w:r>
              <w:rPr>
                <w:rFonts w:hint="eastAsia" w:ascii="仿宋" w:hAnsi="仿宋" w:eastAsia="仿宋" w:cs="仿宋"/>
                <w:b/>
                <w:bCs/>
                <w:sz w:val="28"/>
                <w:szCs w:val="28"/>
              </w:rPr>
              <w:br w:type="page"/>
            </w:r>
          </w:p>
        </w:tc>
      </w:tr>
      <w:bookmarkEnd w:id="0"/>
      <w:bookmarkEnd w:id="1"/>
      <w:bookmarkEnd w:id="2"/>
      <w:bookmarkEnd w:id="3"/>
    </w:tbl>
    <w:p>
      <w:pPr>
        <w:pStyle w:val="2"/>
        <w:ind w:firstLine="400" w:firstLineChars="200"/>
      </w:pPr>
    </w:p>
    <w:sectPr>
      <w:headerReference r:id="rId4" w:type="default"/>
      <w:footerReference r:id="rId5"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w:panose1 w:val="020B0604030504040204"/>
    <w:charset w:val="88"/>
    <w:family w:val="swiss"/>
    <w:pitch w:val="default"/>
    <w:sig w:usb0="000002A7" w:usb1="28CF4400" w:usb2="00000016" w:usb3="00000000" w:csb0="00100009" w:csb1="00000000"/>
  </w:font>
  <w:font w:name="仿宋">
    <w:panose1 w:val="02010609060101010101"/>
    <w:charset w:val="86"/>
    <w:family w:val="modern"/>
    <w:pitch w:val="default"/>
    <w:sig w:usb0="800002BF" w:usb1="38CF7CFA" w:usb2="00000016" w:usb3="00000000" w:csb0="00040001" w:csb1="00000000"/>
  </w:font>
  <w:font w:name="方正楷体简体">
    <w:panose1 w:val="02010601030101010101"/>
    <w:charset w:val="86"/>
    <w:family w:val="auto"/>
    <w:pitch w:val="default"/>
    <w:sig w:usb0="00000001" w:usb1="080E0000" w:usb2="00000000" w:usb3="00000000" w:csb0="00040000" w:csb1="00000000"/>
  </w:font>
  <w:font w:name="方正魏碑简体">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ffectLst/>
                    </wps:spPr>
                    <wps:txbx>
                      <w:txbxContent>
                        <w:p>
                          <w:pPr>
                            <w:pStyle w:val="18"/>
                          </w:pPr>
                          <w:r>
                            <w:fldChar w:fldCharType="begin"/>
                          </w:r>
                          <w:r>
                            <w:instrText xml:space="preserve"> PAGE  \* MERGEFORMAT </w:instrText>
                          </w:r>
                          <w:r>
                            <w:fldChar w:fldCharType="separate"/>
                          </w:r>
                          <w:r>
                            <w:t>12</w:t>
                          </w:r>
                          <w: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3360;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z4vdRNAAAAACAQAADwAAAAAAAAABACAAAAAi&#10;AAAAZHJzL2Rvd25yZXYueG1sUEsBAhQAFAAAAAgAh07iQESO4dQSAgAAEgQAAA4AAAAAAAAAAQAg&#10;AAAAHwEAAGRycy9lMm9Eb2MueG1sUEsFBgAAAAAGAAYAWQEAAKMFAAAAAA==&#10;">
              <v:fill on="f" focussize="0,0"/>
              <v:stroke on="f"/>
              <v:imagedata o:title=""/>
              <o:lock v:ext="edit" aspectratio="f"/>
              <v:textbox inset="0mm,0mm,0mm,0mm" style="mso-fit-shape-to-text:t;">
                <w:txbxContent>
                  <w:p>
                    <w:pPr>
                      <w:pStyle w:val="18"/>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8"/>
                          </w:pPr>
                          <w:r>
                            <w:fldChar w:fldCharType="begin"/>
                          </w:r>
                          <w:r>
                            <w:instrText xml:space="preserve"> PAGE  \* MERGEFORMAT </w:instrText>
                          </w:r>
                          <w:r>
                            <w:fldChar w:fldCharType="separate"/>
                          </w:r>
                          <w:r>
                            <w:t>47</w:t>
                          </w:r>
                          <w: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8"/>
                    </w:pPr>
                    <w:r>
                      <w:fldChar w:fldCharType="begin"/>
                    </w:r>
                    <w:r>
                      <w:instrText xml:space="preserve"> PAGE  \* MERGEFORMAT </w:instrText>
                    </w:r>
                    <w:r>
                      <w:fldChar w:fldCharType="separate"/>
                    </w:r>
                    <w:r>
                      <w:t>47</w:t>
                    </w:r>
                    <w: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1312" behindDoc="1" locked="0" layoutInCell="1" allowOverlap="1">
              <wp:simplePos x="0" y="0"/>
              <wp:positionH relativeFrom="page">
                <wp:posOffset>3512185</wp:posOffset>
              </wp:positionH>
              <wp:positionV relativeFrom="page">
                <wp:posOffset>514350</wp:posOffset>
              </wp:positionV>
              <wp:extent cx="3110230" cy="177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3110230" cy="1778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G76 厦蓉高速（纳黔）路面预防性养护工程</w:t>
                          </w:r>
                          <w:r>
                            <w:rPr>
                              <w:rFonts w:hint="eastAsia" w:ascii="宋体" w:hAnsi="宋体" w:cs="宋体"/>
                              <w:spacing w:val="-1"/>
                              <w:sz w:val="18"/>
                              <w:szCs w:val="18"/>
                              <w:lang w:val="en-US" w:eastAsia="zh-CN"/>
                            </w:rPr>
                            <w:t>劳务合作</w:t>
                          </w:r>
                          <w:r>
                            <w:rPr>
                              <w:rFonts w:ascii="宋体" w:hAnsi="宋体" w:cs="宋体"/>
                              <w:spacing w:val="-1"/>
                              <w:sz w:val="18"/>
                              <w:szCs w:val="18"/>
                            </w:rPr>
                            <w:t>招标文件</w:t>
                          </w:r>
                        </w:p>
                        <w:p/>
                      </w:txbxContent>
                    </wps:txbx>
                    <wps:bodyPr vert="horz" wrap="square" lIns="0" tIns="0" rIns="0" bIns="0" anchor="t" upright="1"/>
                  </wps:wsp>
                </a:graphicData>
              </a:graphic>
            </wp:anchor>
          </w:drawing>
        </mc:Choice>
        <mc:Fallback>
          <w:pict>
            <v:shape id="_x0000_s1026" o:spid="_x0000_s1026" o:spt="202" type="#_x0000_t202" style="position:absolute;left:0pt;margin-left:276.55pt;margin-top:40.5pt;height:14pt;width:244.9pt;mso-position-horizontal-relative:page;mso-position-vertical-relative:page;z-index:-251655168;mso-width-relative:page;mso-height-relative:page;" filled="f" stroked="f" coordsize="21600,21600" o:gfxdata="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7rLC9NkAAAALAQAADwAAAAAA&#10;AAABACAAAAAiAAAAZHJzL2Rvd25yZXYueG1sUEsBAhQAFAAAAAgAh07iQA6vvYbZAQAApQMAAA4A&#10;AAAAAAAAAQAgAAAAKAEAAGRycy9lMm9Eb2MueG1sUEsFBgAAAAAGAAYAWQEAAHM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G76 厦蓉高速（纳黔）路面预防性养护工程</w:t>
                    </w:r>
                    <w:r>
                      <w:rPr>
                        <w:rFonts w:hint="eastAsia" w:ascii="宋体" w:hAnsi="宋体" w:cs="宋体"/>
                        <w:spacing w:val="-1"/>
                        <w:sz w:val="18"/>
                        <w:szCs w:val="18"/>
                        <w:lang w:val="en-US" w:eastAsia="zh-CN"/>
                      </w:rPr>
                      <w:t>劳务合作</w:t>
                    </w:r>
                    <w:r>
                      <w:rPr>
                        <w:rFonts w:ascii="宋体" w:hAnsi="宋体" w:cs="宋体"/>
                        <w:spacing w:val="-1"/>
                        <w:sz w:val="18"/>
                        <w:szCs w:val="18"/>
                      </w:rPr>
                      <w:t>招标文件</w:t>
                    </w:r>
                  </w:p>
                  <w:p/>
                </w:txbxContent>
              </v:textbox>
            </v:shape>
          </w:pict>
        </mc:Fallback>
      </mc:AlternateContent>
    </w:r>
    <w:r>
      <mc:AlternateContent>
        <mc:Choice Requires="wps">
          <w:drawing>
            <wp:anchor distT="0" distB="0" distL="114300" distR="114300" simplePos="0" relativeHeight="251660288" behindDoc="1" locked="0" layoutInCell="1" allowOverlap="1">
              <wp:simplePos x="0" y="0"/>
              <wp:positionH relativeFrom="page">
                <wp:posOffset>737870</wp:posOffset>
              </wp:positionH>
              <wp:positionV relativeFrom="page">
                <wp:posOffset>533400</wp:posOffset>
              </wp:positionV>
              <wp:extent cx="1797050" cy="14922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797050" cy="149225"/>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z w:val="18"/>
                              <w:szCs w:val="18"/>
                            </w:rPr>
                            <w:t>四川省交通建设集团股份有限公司</w:t>
                          </w:r>
                        </w:p>
                      </w:txbxContent>
                    </wps:txbx>
                    <wps:bodyPr vert="horz" wrap="square" lIns="0" tIns="0" rIns="0" bIns="0" anchor="t" upright="1"/>
                  </wps:wsp>
                </a:graphicData>
              </a:graphic>
            </wp:anchor>
          </w:drawing>
        </mc:Choice>
        <mc:Fallback>
          <w:pict>
            <v:shape id="_x0000_s1026" o:spid="_x0000_s1026" o:spt="202" type="#_x0000_t202" style="position:absolute;left:0pt;margin-left:58.1pt;margin-top:42pt;height:11.75pt;width:141.5pt;mso-position-horizontal-relative:page;mso-position-vertical-relative:page;z-index:-251656192;mso-width-relative:page;mso-height-relative:page;" filled="f" stroked="f" coordsize="21600,21600" o:gfxdata="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AOqipXYAAAACgEAAA8AAAAAAAAA&#10;AQAgAAAAIgAAAGRycy9kb3ducmV2LnhtbFBLAQIUABQAAAAIAIdO4kDHaNUn2AEAAKUDAAAOAAAA&#10;AAAAAAEAIAAAACcBAABkcnMvZTJvRG9jLnhtbFBLBQYAAAAABgAGAFkBAABxBQ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z w:val="18"/>
                        <w:szCs w:val="18"/>
                      </w:rPr>
                      <w:t>四川省交通建设集团股份有限公司</w:t>
                    </w:r>
                  </w:p>
                </w:txbxContent>
              </v:textbox>
            </v:shape>
          </w:pict>
        </mc:Fallback>
      </mc:AlternateContent>
    </w: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2" name="组合 1"/>
              <wp:cNvGraphicFramePr/>
              <a:graphic xmlns:a="http://schemas.openxmlformats.org/drawingml/2006/main">
                <a:graphicData uri="http://schemas.microsoft.com/office/word/2010/wordprocessingGroup">
                  <wpg:wgp>
                    <wpg:cNvGrpSpPr/>
                    <wpg:grpSpPr>
                      <a:xfrm>
                        <a:off x="0" y="0"/>
                        <a:ext cx="5929630" cy="1270"/>
                        <a:chOff x="1104" y="1111"/>
                        <a:chExt cx="9338" cy="2203"/>
                      </a:xfrm>
                    </wpg:grpSpPr>
                    <wps:wsp>
                      <wps:cNvPr id="1" name="任意多边形 1"/>
                      <wps:cNvSpPr/>
                      <wps:spPr>
                        <a:xfrm>
                          <a:off x="1104" y="1111"/>
                          <a:ext cx="9338" cy="2"/>
                        </a:xfrm>
                        <a:custGeom>
                          <a:avLst/>
                          <a:gdLst/>
                          <a:ahLst/>
                          <a:cxnLst/>
                          <a:rect l="0" t="0" r="0" b="0"/>
                          <a:pathLst>
                            <a:path w="9338" h="1">
                              <a:moveTo>
                                <a:pt x="0" y="0"/>
                              </a:moveTo>
                              <a:lnTo>
                                <a:pt x="9338" y="0"/>
                              </a:lnTo>
                            </a:path>
                          </a:pathLst>
                        </a:custGeom>
                        <a:noFill/>
                        <a:ln w="10414" cap="flat" cmpd="sng">
                          <a:solidFill>
                            <a:srgbClr val="000000"/>
                          </a:solidFill>
                          <a:prstDash val="solid"/>
                          <a:round/>
                          <a:headEnd type="none" w="med" len="med"/>
                          <a:tailEnd type="none" w="med" len="med"/>
                        </a:ln>
                      </wps:spPr>
                      <wps:bodyPr upright="1"/>
                    </wps:wsp>
                  </wpg:wgp>
                </a:graphicData>
              </a:graphic>
            </wp:anchor>
          </w:drawing>
        </mc:Choice>
        <mc:Fallback>
          <w:pict>
            <v:group id="组合 1" o:spid="_x0000_s1026" o:spt="203" style="position:absolute;left:0pt;margin-left:55.2pt;margin-top:55.55pt;height:0.1pt;width:466.9pt;mso-position-horizontal-relative:page;mso-position-vertical-relative:page;z-index:-251657216;mso-width-relative:page;mso-height-relative:page;" coordorigin="1104,1111" coordsize="9338,2203"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MTKRbrZAAAADAEAAA8AAAAAAAAAAQAgAAAAIgAAAGRycy9kb3ducmV2LnhtbFBL&#10;AQIUABQAAAAIAIdO4kAnKGA9oAIAAOUFAAAOAAAAAAAAAAEAIAAAACgBAABkcnMvZTJvRG9jLnht&#10;bFBLBQYAAAAABgAGAFkBAAA6BgAAAAA=&#10;">
              <o:lock v:ext="edit" aspectratio="f"/>
              <v:shape id="_x0000_s1026" o:spid="_x0000_s1026" o:spt="100" style="position:absolute;left:1104;top:1111;height:2;width:9338;" filled="f" stroked="t" coordsize="9338,1" o:gfxdata="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x/uvugAAANo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720"/>
  <w:drawingGridHorizontalSpacing w:val="210"/>
  <w:drawingGridVerticalSpacing w:val="-7946"/>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RkYTBiYzViZmQzYzg0ODU5NjVlMWQyZWVkNzA4MzcifQ=="/>
  </w:docVars>
  <w:rsids>
    <w:rsidRoot w:val="00C96887"/>
    <w:rsid w:val="000F6126"/>
    <w:rsid w:val="00230FC0"/>
    <w:rsid w:val="0023633F"/>
    <w:rsid w:val="003447AA"/>
    <w:rsid w:val="003B6683"/>
    <w:rsid w:val="003C6C5E"/>
    <w:rsid w:val="003D5849"/>
    <w:rsid w:val="00430DA6"/>
    <w:rsid w:val="00431BEC"/>
    <w:rsid w:val="004974E1"/>
    <w:rsid w:val="004C08AE"/>
    <w:rsid w:val="004C5CA4"/>
    <w:rsid w:val="005121A1"/>
    <w:rsid w:val="005657B7"/>
    <w:rsid w:val="00570AB5"/>
    <w:rsid w:val="00580121"/>
    <w:rsid w:val="005D2533"/>
    <w:rsid w:val="005F5054"/>
    <w:rsid w:val="006254D8"/>
    <w:rsid w:val="00637F09"/>
    <w:rsid w:val="006A1617"/>
    <w:rsid w:val="006B144C"/>
    <w:rsid w:val="006B155F"/>
    <w:rsid w:val="00701D6C"/>
    <w:rsid w:val="00712692"/>
    <w:rsid w:val="00786453"/>
    <w:rsid w:val="007C164F"/>
    <w:rsid w:val="0091371A"/>
    <w:rsid w:val="009A5ACD"/>
    <w:rsid w:val="009D7863"/>
    <w:rsid w:val="00A2599E"/>
    <w:rsid w:val="00A54808"/>
    <w:rsid w:val="00A71A5F"/>
    <w:rsid w:val="00AD1993"/>
    <w:rsid w:val="00B17DC8"/>
    <w:rsid w:val="00B67B83"/>
    <w:rsid w:val="00B9639B"/>
    <w:rsid w:val="00C14302"/>
    <w:rsid w:val="00C77F8F"/>
    <w:rsid w:val="00C96887"/>
    <w:rsid w:val="00DC43CC"/>
    <w:rsid w:val="00DF44A1"/>
    <w:rsid w:val="00E377E5"/>
    <w:rsid w:val="00E57CA1"/>
    <w:rsid w:val="00E6284A"/>
    <w:rsid w:val="00E74C55"/>
    <w:rsid w:val="00EA2923"/>
    <w:rsid w:val="00EA3A03"/>
    <w:rsid w:val="00ED79B3"/>
    <w:rsid w:val="00F31B9D"/>
    <w:rsid w:val="00FD436D"/>
    <w:rsid w:val="00FF6369"/>
    <w:rsid w:val="011D52A0"/>
    <w:rsid w:val="012515C4"/>
    <w:rsid w:val="01AB0AC1"/>
    <w:rsid w:val="01D027D3"/>
    <w:rsid w:val="01F20EFE"/>
    <w:rsid w:val="021D673F"/>
    <w:rsid w:val="02266CE8"/>
    <w:rsid w:val="03E03BF3"/>
    <w:rsid w:val="03FF02B9"/>
    <w:rsid w:val="043F474B"/>
    <w:rsid w:val="053A64D3"/>
    <w:rsid w:val="05755FB4"/>
    <w:rsid w:val="05AD1B88"/>
    <w:rsid w:val="05E71686"/>
    <w:rsid w:val="05EE6FE6"/>
    <w:rsid w:val="05FB57F0"/>
    <w:rsid w:val="067B61C5"/>
    <w:rsid w:val="06802C0D"/>
    <w:rsid w:val="06983DD3"/>
    <w:rsid w:val="06FD269B"/>
    <w:rsid w:val="0757624F"/>
    <w:rsid w:val="07AF3996"/>
    <w:rsid w:val="07D01B5E"/>
    <w:rsid w:val="07DC141F"/>
    <w:rsid w:val="080F2686"/>
    <w:rsid w:val="087669B2"/>
    <w:rsid w:val="087B4640"/>
    <w:rsid w:val="093A3733"/>
    <w:rsid w:val="09D60B3B"/>
    <w:rsid w:val="09DA6E92"/>
    <w:rsid w:val="09E65607"/>
    <w:rsid w:val="0A1873C6"/>
    <w:rsid w:val="0B57654E"/>
    <w:rsid w:val="0B971310"/>
    <w:rsid w:val="0CA75FCC"/>
    <w:rsid w:val="0D3E6AA1"/>
    <w:rsid w:val="0D8C7578"/>
    <w:rsid w:val="0E5119F2"/>
    <w:rsid w:val="0ED62150"/>
    <w:rsid w:val="0EED3DDB"/>
    <w:rsid w:val="0F957915"/>
    <w:rsid w:val="0FF17EFF"/>
    <w:rsid w:val="101D6B39"/>
    <w:rsid w:val="107E484D"/>
    <w:rsid w:val="10947BCD"/>
    <w:rsid w:val="10AD57B2"/>
    <w:rsid w:val="10B07F3F"/>
    <w:rsid w:val="10F1501F"/>
    <w:rsid w:val="114446C8"/>
    <w:rsid w:val="127570CB"/>
    <w:rsid w:val="130D1AF3"/>
    <w:rsid w:val="147246C9"/>
    <w:rsid w:val="14FC3F92"/>
    <w:rsid w:val="154B7647"/>
    <w:rsid w:val="155C2C83"/>
    <w:rsid w:val="15C937BB"/>
    <w:rsid w:val="15FA78D8"/>
    <w:rsid w:val="16175528"/>
    <w:rsid w:val="167569D8"/>
    <w:rsid w:val="1761749E"/>
    <w:rsid w:val="177F0ACF"/>
    <w:rsid w:val="17AC6144"/>
    <w:rsid w:val="17D47630"/>
    <w:rsid w:val="182C7652"/>
    <w:rsid w:val="19010C28"/>
    <w:rsid w:val="1A6804E9"/>
    <w:rsid w:val="1AE91E6A"/>
    <w:rsid w:val="1B4D72F6"/>
    <w:rsid w:val="1BA710FC"/>
    <w:rsid w:val="1BB94A49"/>
    <w:rsid w:val="1BEA723A"/>
    <w:rsid w:val="1D127DE3"/>
    <w:rsid w:val="1D525B2D"/>
    <w:rsid w:val="1DD10C2C"/>
    <w:rsid w:val="1DEC6C99"/>
    <w:rsid w:val="1E2702D2"/>
    <w:rsid w:val="1E75654E"/>
    <w:rsid w:val="1E9764CE"/>
    <w:rsid w:val="1F3F5AEF"/>
    <w:rsid w:val="1F996FAD"/>
    <w:rsid w:val="1FBB68C3"/>
    <w:rsid w:val="1FED72F9"/>
    <w:rsid w:val="1FFF7895"/>
    <w:rsid w:val="20517888"/>
    <w:rsid w:val="209D487B"/>
    <w:rsid w:val="20D81D57"/>
    <w:rsid w:val="21144C22"/>
    <w:rsid w:val="221D05E2"/>
    <w:rsid w:val="22617948"/>
    <w:rsid w:val="22AE6BD4"/>
    <w:rsid w:val="22B72248"/>
    <w:rsid w:val="232B07C0"/>
    <w:rsid w:val="239C41EA"/>
    <w:rsid w:val="23BB362F"/>
    <w:rsid w:val="240F2B5A"/>
    <w:rsid w:val="24251C23"/>
    <w:rsid w:val="248F6BD1"/>
    <w:rsid w:val="24CB70AD"/>
    <w:rsid w:val="250D600F"/>
    <w:rsid w:val="25BC1C48"/>
    <w:rsid w:val="262540AE"/>
    <w:rsid w:val="263B7E9C"/>
    <w:rsid w:val="269347F1"/>
    <w:rsid w:val="27B91CCD"/>
    <w:rsid w:val="27CC1EEA"/>
    <w:rsid w:val="282B6C11"/>
    <w:rsid w:val="285A1D09"/>
    <w:rsid w:val="28D83586"/>
    <w:rsid w:val="29383E2B"/>
    <w:rsid w:val="29C9048F"/>
    <w:rsid w:val="2B0F3DD5"/>
    <w:rsid w:val="2B2F4C6A"/>
    <w:rsid w:val="2B306A21"/>
    <w:rsid w:val="2B723DF1"/>
    <w:rsid w:val="2BF85B4D"/>
    <w:rsid w:val="2CD0603B"/>
    <w:rsid w:val="2CEF39F0"/>
    <w:rsid w:val="2D1265F1"/>
    <w:rsid w:val="2D314CC9"/>
    <w:rsid w:val="2D571A3F"/>
    <w:rsid w:val="2D5D7295"/>
    <w:rsid w:val="2D74105A"/>
    <w:rsid w:val="2D9B6905"/>
    <w:rsid w:val="2E0A5087"/>
    <w:rsid w:val="2E524243"/>
    <w:rsid w:val="2E655D26"/>
    <w:rsid w:val="2E76670C"/>
    <w:rsid w:val="2E7A64CE"/>
    <w:rsid w:val="2E8428D7"/>
    <w:rsid w:val="2E9636EB"/>
    <w:rsid w:val="2E971E7D"/>
    <w:rsid w:val="2FD11614"/>
    <w:rsid w:val="2FF01869"/>
    <w:rsid w:val="301B3A0F"/>
    <w:rsid w:val="302518AC"/>
    <w:rsid w:val="30C07416"/>
    <w:rsid w:val="30D75B88"/>
    <w:rsid w:val="31AF608E"/>
    <w:rsid w:val="323F462E"/>
    <w:rsid w:val="32CA362A"/>
    <w:rsid w:val="331229C2"/>
    <w:rsid w:val="33955886"/>
    <w:rsid w:val="33D939C5"/>
    <w:rsid w:val="34EE4FA2"/>
    <w:rsid w:val="352E5F92"/>
    <w:rsid w:val="355B5BAC"/>
    <w:rsid w:val="35C94E43"/>
    <w:rsid w:val="35FC3A80"/>
    <w:rsid w:val="364A48BB"/>
    <w:rsid w:val="364D2448"/>
    <w:rsid w:val="368F01B1"/>
    <w:rsid w:val="36CE76BF"/>
    <w:rsid w:val="36F079A3"/>
    <w:rsid w:val="370756EF"/>
    <w:rsid w:val="372B2789"/>
    <w:rsid w:val="376422FE"/>
    <w:rsid w:val="37B3277F"/>
    <w:rsid w:val="37B520E6"/>
    <w:rsid w:val="37DD2E0C"/>
    <w:rsid w:val="38722F4C"/>
    <w:rsid w:val="388676E4"/>
    <w:rsid w:val="38B463A7"/>
    <w:rsid w:val="38D76D58"/>
    <w:rsid w:val="38E86458"/>
    <w:rsid w:val="38F1355F"/>
    <w:rsid w:val="390152D2"/>
    <w:rsid w:val="3A091AEB"/>
    <w:rsid w:val="3A337830"/>
    <w:rsid w:val="3A8B364C"/>
    <w:rsid w:val="3B765F9D"/>
    <w:rsid w:val="3BA93268"/>
    <w:rsid w:val="3BAB20EB"/>
    <w:rsid w:val="3C2C30D1"/>
    <w:rsid w:val="3C3814A4"/>
    <w:rsid w:val="3D2867A2"/>
    <w:rsid w:val="3D542235"/>
    <w:rsid w:val="3D6B114E"/>
    <w:rsid w:val="3E045AE2"/>
    <w:rsid w:val="3E50388F"/>
    <w:rsid w:val="3E7064AC"/>
    <w:rsid w:val="3E75253C"/>
    <w:rsid w:val="3FAD16A5"/>
    <w:rsid w:val="3FEB65EC"/>
    <w:rsid w:val="40192D50"/>
    <w:rsid w:val="40464190"/>
    <w:rsid w:val="407927B7"/>
    <w:rsid w:val="40E05399"/>
    <w:rsid w:val="4101455B"/>
    <w:rsid w:val="415E7F28"/>
    <w:rsid w:val="417B430D"/>
    <w:rsid w:val="419C706D"/>
    <w:rsid w:val="42287731"/>
    <w:rsid w:val="423030CA"/>
    <w:rsid w:val="42B06238"/>
    <w:rsid w:val="42BF46CD"/>
    <w:rsid w:val="42EB101F"/>
    <w:rsid w:val="431532ED"/>
    <w:rsid w:val="439C4BA2"/>
    <w:rsid w:val="43E36290"/>
    <w:rsid w:val="44046B45"/>
    <w:rsid w:val="441376B3"/>
    <w:rsid w:val="445D419E"/>
    <w:rsid w:val="447C0AC8"/>
    <w:rsid w:val="44D07B86"/>
    <w:rsid w:val="44F66CBA"/>
    <w:rsid w:val="45C51E52"/>
    <w:rsid w:val="46F62F15"/>
    <w:rsid w:val="471B0967"/>
    <w:rsid w:val="472E17CC"/>
    <w:rsid w:val="473C6B0E"/>
    <w:rsid w:val="485A0E07"/>
    <w:rsid w:val="485A768B"/>
    <w:rsid w:val="48BA59AC"/>
    <w:rsid w:val="48C06E22"/>
    <w:rsid w:val="48FA0885"/>
    <w:rsid w:val="49261B47"/>
    <w:rsid w:val="49492F43"/>
    <w:rsid w:val="495711BC"/>
    <w:rsid w:val="49891591"/>
    <w:rsid w:val="4A05330E"/>
    <w:rsid w:val="4A251EE7"/>
    <w:rsid w:val="4A4924BD"/>
    <w:rsid w:val="4A7B537E"/>
    <w:rsid w:val="4AA81951"/>
    <w:rsid w:val="4AB87588"/>
    <w:rsid w:val="4B452840"/>
    <w:rsid w:val="4B6D10F8"/>
    <w:rsid w:val="4C2C2DD4"/>
    <w:rsid w:val="4C2F01CE"/>
    <w:rsid w:val="4CEA0599"/>
    <w:rsid w:val="4DB34E2F"/>
    <w:rsid w:val="4E0A3C0D"/>
    <w:rsid w:val="4E182268"/>
    <w:rsid w:val="4E5001E6"/>
    <w:rsid w:val="4EE308D4"/>
    <w:rsid w:val="4F5B6F39"/>
    <w:rsid w:val="4FCA1F8A"/>
    <w:rsid w:val="4FCF3AF6"/>
    <w:rsid w:val="50402720"/>
    <w:rsid w:val="508F2A2C"/>
    <w:rsid w:val="509B4084"/>
    <w:rsid w:val="5118076E"/>
    <w:rsid w:val="511D2CEB"/>
    <w:rsid w:val="51885B70"/>
    <w:rsid w:val="520164DD"/>
    <w:rsid w:val="52630BD1"/>
    <w:rsid w:val="52D128DF"/>
    <w:rsid w:val="52DC2732"/>
    <w:rsid w:val="53CD7205"/>
    <w:rsid w:val="541128AF"/>
    <w:rsid w:val="5435659E"/>
    <w:rsid w:val="5452714F"/>
    <w:rsid w:val="54D918FB"/>
    <w:rsid w:val="54EC50F5"/>
    <w:rsid w:val="54FE72D7"/>
    <w:rsid w:val="55315F73"/>
    <w:rsid w:val="55CE61E5"/>
    <w:rsid w:val="57B61389"/>
    <w:rsid w:val="57D74942"/>
    <w:rsid w:val="58CB36FC"/>
    <w:rsid w:val="595B6AA6"/>
    <w:rsid w:val="5988223B"/>
    <w:rsid w:val="59D52753"/>
    <w:rsid w:val="5A7F0453"/>
    <w:rsid w:val="5ACD50F4"/>
    <w:rsid w:val="5B0F5D9A"/>
    <w:rsid w:val="5B7D1C05"/>
    <w:rsid w:val="5B9E1010"/>
    <w:rsid w:val="5BB66216"/>
    <w:rsid w:val="5BE532FB"/>
    <w:rsid w:val="5C8078BF"/>
    <w:rsid w:val="5CF76AE6"/>
    <w:rsid w:val="5CFC30AF"/>
    <w:rsid w:val="5D3F66DF"/>
    <w:rsid w:val="5DE80ECD"/>
    <w:rsid w:val="5E0B23B5"/>
    <w:rsid w:val="5E443FAD"/>
    <w:rsid w:val="5E6B773E"/>
    <w:rsid w:val="5E766130"/>
    <w:rsid w:val="5EB71DF1"/>
    <w:rsid w:val="5ECA171C"/>
    <w:rsid w:val="5F1D3783"/>
    <w:rsid w:val="5F2D5C45"/>
    <w:rsid w:val="5F2F5EAB"/>
    <w:rsid w:val="60D463FC"/>
    <w:rsid w:val="612A4CFA"/>
    <w:rsid w:val="61DF0FDE"/>
    <w:rsid w:val="620C3034"/>
    <w:rsid w:val="628C5F22"/>
    <w:rsid w:val="62A27C96"/>
    <w:rsid w:val="62C42C8C"/>
    <w:rsid w:val="63293771"/>
    <w:rsid w:val="642A59F3"/>
    <w:rsid w:val="643109B5"/>
    <w:rsid w:val="64AE0956"/>
    <w:rsid w:val="64CC18F9"/>
    <w:rsid w:val="659F41BF"/>
    <w:rsid w:val="65C76327"/>
    <w:rsid w:val="662E447E"/>
    <w:rsid w:val="663761A5"/>
    <w:rsid w:val="66652D12"/>
    <w:rsid w:val="66815672"/>
    <w:rsid w:val="66856845"/>
    <w:rsid w:val="67D73EEB"/>
    <w:rsid w:val="681641D1"/>
    <w:rsid w:val="6844104D"/>
    <w:rsid w:val="68573667"/>
    <w:rsid w:val="685E3EBD"/>
    <w:rsid w:val="686C190F"/>
    <w:rsid w:val="68AD63D1"/>
    <w:rsid w:val="6920533A"/>
    <w:rsid w:val="696D4FB0"/>
    <w:rsid w:val="69792935"/>
    <w:rsid w:val="6A4A5DF9"/>
    <w:rsid w:val="6A91369F"/>
    <w:rsid w:val="6AB552DF"/>
    <w:rsid w:val="6AED0450"/>
    <w:rsid w:val="6B1765A5"/>
    <w:rsid w:val="6B690E04"/>
    <w:rsid w:val="6C003FFF"/>
    <w:rsid w:val="6C6D604B"/>
    <w:rsid w:val="6C7C5F0F"/>
    <w:rsid w:val="6CB55EA8"/>
    <w:rsid w:val="6CE07597"/>
    <w:rsid w:val="6D2A06AE"/>
    <w:rsid w:val="6D356EC4"/>
    <w:rsid w:val="6D680DCD"/>
    <w:rsid w:val="6D7A5167"/>
    <w:rsid w:val="6D8A6E86"/>
    <w:rsid w:val="6DC16A7D"/>
    <w:rsid w:val="6E153270"/>
    <w:rsid w:val="6E9323E7"/>
    <w:rsid w:val="6F2F65B3"/>
    <w:rsid w:val="6F8F44ED"/>
    <w:rsid w:val="6FE1680B"/>
    <w:rsid w:val="6FF375E1"/>
    <w:rsid w:val="701F1BF3"/>
    <w:rsid w:val="706A28AB"/>
    <w:rsid w:val="708E4D10"/>
    <w:rsid w:val="714125CE"/>
    <w:rsid w:val="71F47202"/>
    <w:rsid w:val="7215767E"/>
    <w:rsid w:val="729F135A"/>
    <w:rsid w:val="72D83B8A"/>
    <w:rsid w:val="72EE5EA3"/>
    <w:rsid w:val="734C0DB6"/>
    <w:rsid w:val="73CF3EC1"/>
    <w:rsid w:val="73D05B92"/>
    <w:rsid w:val="73E159A2"/>
    <w:rsid w:val="73FC39E0"/>
    <w:rsid w:val="74291CAE"/>
    <w:rsid w:val="743A03F4"/>
    <w:rsid w:val="75071506"/>
    <w:rsid w:val="75727CFA"/>
    <w:rsid w:val="759F78C3"/>
    <w:rsid w:val="75A5137D"/>
    <w:rsid w:val="75DF5F11"/>
    <w:rsid w:val="76214447"/>
    <w:rsid w:val="765668AB"/>
    <w:rsid w:val="767B3E8C"/>
    <w:rsid w:val="778D1F6A"/>
    <w:rsid w:val="77E6397B"/>
    <w:rsid w:val="782D5FB3"/>
    <w:rsid w:val="784E680A"/>
    <w:rsid w:val="7884180F"/>
    <w:rsid w:val="788D7EA7"/>
    <w:rsid w:val="78B35B5F"/>
    <w:rsid w:val="78C72369"/>
    <w:rsid w:val="78DD2BDC"/>
    <w:rsid w:val="7AA03EC1"/>
    <w:rsid w:val="7AA634A2"/>
    <w:rsid w:val="7AAE697B"/>
    <w:rsid w:val="7BA67BFD"/>
    <w:rsid w:val="7BCB6D0E"/>
    <w:rsid w:val="7BD316FA"/>
    <w:rsid w:val="7BD909F0"/>
    <w:rsid w:val="7C153155"/>
    <w:rsid w:val="7C570EF7"/>
    <w:rsid w:val="7CA83501"/>
    <w:rsid w:val="7D2B4D81"/>
    <w:rsid w:val="7D630702"/>
    <w:rsid w:val="7D73254C"/>
    <w:rsid w:val="7D823D52"/>
    <w:rsid w:val="7D9836D6"/>
    <w:rsid w:val="7DCB394B"/>
    <w:rsid w:val="7DE72742"/>
    <w:rsid w:val="7E0A49CF"/>
    <w:rsid w:val="7E0C7A5B"/>
    <w:rsid w:val="7E7318ED"/>
    <w:rsid w:val="7E834226"/>
    <w:rsid w:val="7EF2344E"/>
    <w:rsid w:val="7F4D7C66"/>
    <w:rsid w:val="7F807343"/>
    <w:rsid w:val="7F8B4F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link w:val="85"/>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67"/>
    <w:qFormat/>
    <w:uiPriority w:val="0"/>
    <w:pPr>
      <w:keepNext/>
      <w:keepLines/>
      <w:spacing w:before="260" w:after="260" w:line="413" w:lineRule="auto"/>
      <w:outlineLvl w:val="2"/>
    </w:pPr>
    <w:rPr>
      <w:b/>
      <w:bCs/>
      <w:sz w:val="32"/>
      <w:szCs w:val="32"/>
    </w:rPr>
  </w:style>
  <w:style w:type="paragraph" w:styleId="6">
    <w:name w:val="heading 4"/>
    <w:basedOn w:val="1"/>
    <w:next w:val="1"/>
    <w:link w:val="61"/>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59"/>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Normal Indent"/>
    <w:basedOn w:val="1"/>
    <w:qFormat/>
    <w:uiPriority w:val="99"/>
    <w:pPr>
      <w:ind w:firstLine="420"/>
    </w:pPr>
  </w:style>
  <w:style w:type="paragraph" w:styleId="12">
    <w:name w:val="annotation text"/>
    <w:basedOn w:val="1"/>
    <w:qFormat/>
    <w:uiPriority w:val="99"/>
    <w:pPr>
      <w:jc w:val="left"/>
    </w:pPr>
  </w:style>
  <w:style w:type="paragraph" w:styleId="13">
    <w:name w:val="Body Text"/>
    <w:basedOn w:val="1"/>
    <w:next w:val="1"/>
    <w:link w:val="75"/>
    <w:qFormat/>
    <w:uiPriority w:val="0"/>
    <w:pPr>
      <w:spacing w:after="120"/>
    </w:pPr>
    <w:rPr>
      <w:szCs w:val="24"/>
    </w:rPr>
  </w:style>
  <w:style w:type="paragraph" w:styleId="14">
    <w:name w:val="Body Text Indent"/>
    <w:basedOn w:val="1"/>
    <w:link w:val="60"/>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70"/>
    <w:qFormat/>
    <w:uiPriority w:val="0"/>
    <w:rPr>
      <w:rFonts w:ascii="宋体" w:hAnsi="Courier New"/>
      <w:szCs w:val="21"/>
    </w:rPr>
  </w:style>
  <w:style w:type="paragraph" w:styleId="17">
    <w:name w:val="Balloon Text"/>
    <w:basedOn w:val="1"/>
    <w:link w:val="77"/>
    <w:unhideWhenUsed/>
    <w:qFormat/>
    <w:uiPriority w:val="99"/>
    <w:rPr>
      <w:sz w:val="18"/>
      <w:szCs w:val="18"/>
    </w:rPr>
  </w:style>
  <w:style w:type="paragraph" w:styleId="18">
    <w:name w:val="footer"/>
    <w:basedOn w:val="1"/>
    <w:link w:val="71"/>
    <w:unhideWhenUsed/>
    <w:qFormat/>
    <w:uiPriority w:val="99"/>
    <w:pPr>
      <w:tabs>
        <w:tab w:val="center" w:pos="4153"/>
        <w:tab w:val="right" w:pos="8306"/>
      </w:tabs>
      <w:snapToGrid w:val="0"/>
      <w:jc w:val="left"/>
    </w:pPr>
    <w:rPr>
      <w:sz w:val="18"/>
      <w:szCs w:val="18"/>
    </w:rPr>
  </w:style>
  <w:style w:type="paragraph" w:styleId="19">
    <w:name w:val="header"/>
    <w:basedOn w:val="1"/>
    <w:link w:val="68"/>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3">
    <w:name w:val="Body Text First Indent"/>
    <w:basedOn w:val="13"/>
    <w:qFormat/>
    <w:uiPriority w:val="0"/>
    <w:pPr>
      <w:ind w:firstLine="420" w:firstLineChars="100"/>
    </w:pPr>
  </w:style>
  <w:style w:type="paragraph" w:styleId="24">
    <w:name w:val="Body Text First Indent 2"/>
    <w:basedOn w:val="14"/>
    <w:qFormat/>
    <w:uiPriority w:val="0"/>
    <w:pPr>
      <w:ind w:firstLine="420" w:firstLineChars="200"/>
    </w:pPr>
    <w:rPr>
      <w:rFonts w:ascii="Calibri" w:hAnsi="Calibri"/>
    </w:rPr>
  </w:style>
  <w:style w:type="table" w:styleId="26">
    <w:name w:val="Table Grid"/>
    <w:basedOn w:val="2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FollowedHyperlink"/>
    <w:basedOn w:val="27"/>
    <w:qFormat/>
    <w:uiPriority w:val="0"/>
    <w:rPr>
      <w:color w:val="800080"/>
      <w:u w:val="single"/>
    </w:rPr>
  </w:style>
  <w:style w:type="character" w:styleId="29">
    <w:name w:val="Emphasis"/>
    <w:basedOn w:val="27"/>
    <w:qFormat/>
    <w:uiPriority w:val="20"/>
    <w:rPr>
      <w:i/>
    </w:rPr>
  </w:style>
  <w:style w:type="character" w:styleId="30">
    <w:name w:val="Hyperlink"/>
    <w:qFormat/>
    <w:uiPriority w:val="99"/>
    <w:rPr>
      <w:color w:val="0000FF"/>
      <w:u w:val="single"/>
    </w:rPr>
  </w:style>
  <w:style w:type="character" w:styleId="31">
    <w:name w:val="annotation reference"/>
    <w:basedOn w:val="27"/>
    <w:semiHidden/>
    <w:unhideWhenUsed/>
    <w:qFormat/>
    <w:uiPriority w:val="99"/>
    <w:rPr>
      <w:sz w:val="21"/>
      <w:szCs w:val="21"/>
    </w:rPr>
  </w:style>
  <w:style w:type="paragraph" w:customStyle="1" w:styleId="32">
    <w:name w:val="WPSOffice手动目录 1"/>
    <w:qFormat/>
    <w:uiPriority w:val="0"/>
    <w:rPr>
      <w:rFonts w:ascii="Times New Roman" w:hAnsi="Times New Roman" w:eastAsia="宋体" w:cs="Times New Roman"/>
      <w:lang w:val="en-US" w:eastAsia="zh-CN" w:bidi="ar-SA"/>
    </w:rPr>
  </w:style>
  <w:style w:type="paragraph" w:customStyle="1" w:styleId="33">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34">
    <w:name w:val="CM10"/>
    <w:basedOn w:val="33"/>
    <w:next w:val="33"/>
    <w:unhideWhenUsed/>
    <w:qFormat/>
    <w:uiPriority w:val="99"/>
    <w:pPr>
      <w:spacing w:line="408" w:lineRule="atLeast"/>
    </w:pPr>
    <w:rPr>
      <w:rFonts w:hint="default"/>
    </w:rPr>
  </w:style>
  <w:style w:type="paragraph" w:customStyle="1" w:styleId="35">
    <w:name w:val="CM3"/>
    <w:basedOn w:val="33"/>
    <w:next w:val="33"/>
    <w:unhideWhenUsed/>
    <w:qFormat/>
    <w:uiPriority w:val="99"/>
    <w:pPr>
      <w:spacing w:line="408" w:lineRule="atLeast"/>
    </w:pPr>
    <w:rPr>
      <w:rFonts w:hint="default"/>
    </w:rPr>
  </w:style>
  <w:style w:type="paragraph" w:customStyle="1" w:styleId="36">
    <w:name w:val="CM4"/>
    <w:basedOn w:val="33"/>
    <w:next w:val="33"/>
    <w:unhideWhenUsed/>
    <w:qFormat/>
    <w:uiPriority w:val="99"/>
    <w:pPr>
      <w:spacing w:line="411" w:lineRule="atLeast"/>
    </w:pPr>
    <w:rPr>
      <w:rFonts w:hint="default"/>
    </w:rPr>
  </w:style>
  <w:style w:type="paragraph" w:customStyle="1" w:styleId="37">
    <w:name w:val="Table Paragraph"/>
    <w:basedOn w:val="1"/>
    <w:qFormat/>
    <w:uiPriority w:val="1"/>
    <w:rPr>
      <w:rFonts w:ascii="宋体" w:hAnsi="宋体" w:cs="宋体"/>
      <w:lang w:val="zh-CN" w:bidi="zh-CN"/>
    </w:rPr>
  </w:style>
  <w:style w:type="paragraph" w:customStyle="1" w:styleId="38">
    <w:name w:val="列出段落1"/>
    <w:basedOn w:val="1"/>
    <w:link w:val="65"/>
    <w:qFormat/>
    <w:uiPriority w:val="0"/>
    <w:pPr>
      <w:ind w:firstLine="420" w:firstLineChars="200"/>
    </w:pPr>
    <w:rPr>
      <w:szCs w:val="20"/>
    </w:rPr>
  </w:style>
  <w:style w:type="paragraph" w:customStyle="1" w:styleId="39">
    <w:name w:val="Char Char Char Char"/>
    <w:basedOn w:val="1"/>
    <w:qFormat/>
    <w:uiPriority w:val="0"/>
    <w:pPr>
      <w:widowControl/>
      <w:spacing w:after="160" w:line="240" w:lineRule="exact"/>
      <w:jc w:val="left"/>
    </w:pPr>
    <w:rPr>
      <w:szCs w:val="24"/>
    </w:rPr>
  </w:style>
  <w:style w:type="paragraph" w:customStyle="1" w:styleId="40">
    <w:name w:val="CM16"/>
    <w:basedOn w:val="33"/>
    <w:next w:val="33"/>
    <w:unhideWhenUsed/>
    <w:qFormat/>
    <w:uiPriority w:val="99"/>
    <w:pPr>
      <w:spacing w:line="411" w:lineRule="atLeast"/>
    </w:pPr>
    <w:rPr>
      <w:rFonts w:hint="default"/>
    </w:rPr>
  </w:style>
  <w:style w:type="paragraph" w:customStyle="1" w:styleId="41">
    <w:name w:val="CM13"/>
    <w:basedOn w:val="33"/>
    <w:next w:val="33"/>
    <w:unhideWhenUsed/>
    <w:qFormat/>
    <w:uiPriority w:val="99"/>
    <w:pPr>
      <w:spacing w:line="408" w:lineRule="atLeast"/>
    </w:pPr>
    <w:rPr>
      <w:rFonts w:hint="default"/>
    </w:rPr>
  </w:style>
  <w:style w:type="paragraph" w:customStyle="1" w:styleId="42">
    <w:name w:val="CM27"/>
    <w:basedOn w:val="33"/>
    <w:next w:val="33"/>
    <w:unhideWhenUsed/>
    <w:qFormat/>
    <w:uiPriority w:val="99"/>
    <w:pPr>
      <w:spacing w:line="411" w:lineRule="atLeast"/>
    </w:pPr>
    <w:rPr>
      <w:rFonts w:hint="default"/>
    </w:rPr>
  </w:style>
  <w:style w:type="paragraph" w:customStyle="1" w:styleId="43">
    <w:name w:val="文中正文"/>
    <w:basedOn w:val="1"/>
    <w:qFormat/>
    <w:uiPriority w:val="99"/>
    <w:pPr>
      <w:ind w:firstLine="640" w:firstLineChars="200"/>
    </w:pPr>
    <w:rPr>
      <w:rFonts w:eastAsia="方正楷体简体"/>
      <w:bCs/>
      <w:spacing w:val="20"/>
      <w:sz w:val="28"/>
      <w:szCs w:val="24"/>
    </w:rPr>
  </w:style>
  <w:style w:type="paragraph" w:customStyle="1" w:styleId="44">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45">
    <w:name w:val="CM5"/>
    <w:basedOn w:val="33"/>
    <w:next w:val="33"/>
    <w:unhideWhenUsed/>
    <w:qFormat/>
    <w:uiPriority w:val="99"/>
    <w:pPr>
      <w:spacing w:line="411" w:lineRule="atLeast"/>
    </w:pPr>
    <w:rPr>
      <w:rFonts w:hint="default"/>
    </w:rPr>
  </w:style>
  <w:style w:type="paragraph" w:customStyle="1" w:styleId="46">
    <w:name w:val="列出段落111"/>
    <w:basedOn w:val="1"/>
    <w:qFormat/>
    <w:uiPriority w:val="0"/>
    <w:pPr>
      <w:ind w:firstLine="420" w:firstLineChars="200"/>
    </w:pPr>
  </w:style>
  <w:style w:type="paragraph" w:customStyle="1" w:styleId="47">
    <w:name w:val="CM7"/>
    <w:basedOn w:val="33"/>
    <w:next w:val="33"/>
    <w:unhideWhenUsed/>
    <w:qFormat/>
    <w:uiPriority w:val="99"/>
    <w:pPr>
      <w:spacing w:line="408" w:lineRule="atLeast"/>
    </w:pPr>
    <w:rPr>
      <w:rFonts w:hint="default"/>
    </w:rPr>
  </w:style>
  <w:style w:type="paragraph" w:customStyle="1" w:styleId="48">
    <w:name w:val="p0"/>
    <w:basedOn w:val="1"/>
    <w:qFormat/>
    <w:uiPriority w:val="99"/>
    <w:pPr>
      <w:widowControl/>
      <w:jc w:val="left"/>
    </w:pPr>
    <w:rPr>
      <w:rFonts w:cs="宋体"/>
      <w:kern w:val="0"/>
      <w:szCs w:val="21"/>
    </w:rPr>
  </w:style>
  <w:style w:type="paragraph" w:customStyle="1" w:styleId="49">
    <w:name w:val="CM9"/>
    <w:basedOn w:val="33"/>
    <w:next w:val="33"/>
    <w:unhideWhenUsed/>
    <w:qFormat/>
    <w:uiPriority w:val="99"/>
    <w:pPr>
      <w:spacing w:line="408" w:lineRule="atLeast"/>
    </w:pPr>
    <w:rPr>
      <w:rFonts w:hint="default"/>
    </w:rPr>
  </w:style>
  <w:style w:type="paragraph" w:customStyle="1" w:styleId="50">
    <w:name w:val="CM8"/>
    <w:basedOn w:val="33"/>
    <w:next w:val="33"/>
    <w:unhideWhenUsed/>
    <w:qFormat/>
    <w:uiPriority w:val="99"/>
    <w:pPr>
      <w:spacing w:line="408" w:lineRule="atLeast"/>
    </w:pPr>
    <w:rPr>
      <w:rFonts w:hint="default"/>
    </w:rPr>
  </w:style>
  <w:style w:type="paragraph" w:customStyle="1" w:styleId="51">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52">
    <w:name w:val="大标题"/>
    <w:basedOn w:val="1"/>
    <w:qFormat/>
    <w:uiPriority w:val="99"/>
    <w:pPr>
      <w:spacing w:beforeLines="100" w:afterLines="50"/>
      <w:jc w:val="center"/>
    </w:pPr>
    <w:rPr>
      <w:rFonts w:eastAsia="方正魏碑简体"/>
      <w:bCs/>
      <w:spacing w:val="20"/>
      <w:sz w:val="72"/>
      <w:szCs w:val="24"/>
    </w:rPr>
  </w:style>
  <w:style w:type="paragraph" w:customStyle="1" w:styleId="53">
    <w:name w:val="_Style 4"/>
    <w:basedOn w:val="1"/>
    <w:qFormat/>
    <w:uiPriority w:val="34"/>
    <w:pPr>
      <w:ind w:firstLine="420" w:firstLineChars="200"/>
    </w:pPr>
  </w:style>
  <w:style w:type="paragraph" w:customStyle="1" w:styleId="54">
    <w:name w:val="表格"/>
    <w:basedOn w:val="1"/>
    <w:qFormat/>
    <w:uiPriority w:val="0"/>
    <w:pPr>
      <w:widowControl/>
      <w:spacing w:beforeLines="50" w:afterLines="50"/>
      <w:jc w:val="center"/>
      <w:textAlignment w:val="center"/>
    </w:pPr>
    <w:rPr>
      <w:rFonts w:ascii="宋体" w:hAnsi="宋体" w:cs="宋体"/>
      <w:kern w:val="0"/>
    </w:rPr>
  </w:style>
  <w:style w:type="paragraph" w:customStyle="1" w:styleId="55">
    <w:name w:val="正文首行缩进 21"/>
    <w:basedOn w:val="56"/>
    <w:qFormat/>
    <w:uiPriority w:val="0"/>
    <w:pPr>
      <w:ind w:firstLine="420" w:firstLineChars="200"/>
    </w:pPr>
  </w:style>
  <w:style w:type="paragraph" w:customStyle="1" w:styleId="56">
    <w:name w:val="正文文本缩进1"/>
    <w:basedOn w:val="1"/>
    <w:qFormat/>
    <w:uiPriority w:val="0"/>
    <w:pPr>
      <w:ind w:left="420" w:leftChars="200"/>
    </w:pPr>
    <w:rPr>
      <w:szCs w:val="24"/>
    </w:rPr>
  </w:style>
  <w:style w:type="paragraph" w:customStyle="1" w:styleId="57">
    <w:name w:val="纯文本1"/>
    <w:basedOn w:val="1"/>
    <w:qFormat/>
    <w:uiPriority w:val="0"/>
    <w:rPr>
      <w:rFonts w:ascii="宋体" w:hAnsi="Courier New" w:cs="Courier New"/>
      <w:szCs w:val="21"/>
    </w:rPr>
  </w:style>
  <w:style w:type="paragraph" w:customStyle="1" w:styleId="58">
    <w:name w:val="纯文本 Char Char"/>
    <w:basedOn w:val="1"/>
    <w:qFormat/>
    <w:uiPriority w:val="0"/>
    <w:rPr>
      <w:rFonts w:ascii="宋体" w:hAnsi="Courier New" w:cs="Courier New"/>
      <w:szCs w:val="21"/>
    </w:rPr>
  </w:style>
  <w:style w:type="character" w:customStyle="1" w:styleId="59">
    <w:name w:val="标题 6 字符"/>
    <w:link w:val="7"/>
    <w:qFormat/>
    <w:uiPriority w:val="1"/>
    <w:rPr>
      <w:rFonts w:ascii="宋体" w:hAnsi="宋体" w:eastAsia="宋体" w:cs="宋体"/>
      <w:b/>
      <w:bCs/>
      <w:sz w:val="36"/>
      <w:szCs w:val="36"/>
      <w:lang w:val="zh-CN" w:eastAsia="zh-CN" w:bidi="zh-CN"/>
    </w:rPr>
  </w:style>
  <w:style w:type="character" w:customStyle="1" w:styleId="60">
    <w:name w:val="正文文本缩进 字符"/>
    <w:link w:val="14"/>
    <w:qFormat/>
    <w:uiPriority w:val="0"/>
    <w:rPr>
      <w:kern w:val="2"/>
      <w:sz w:val="21"/>
      <w:szCs w:val="24"/>
    </w:rPr>
  </w:style>
  <w:style w:type="character" w:customStyle="1" w:styleId="61">
    <w:name w:val="标题 4 字符"/>
    <w:link w:val="6"/>
    <w:qFormat/>
    <w:uiPriority w:val="0"/>
    <w:rPr>
      <w:rFonts w:ascii="Arial" w:hAnsi="Arial" w:eastAsia="黑体"/>
      <w:b/>
      <w:sz w:val="28"/>
    </w:rPr>
  </w:style>
  <w:style w:type="character" w:customStyle="1" w:styleId="62">
    <w:name w:val="纯文本 Char"/>
    <w:qFormat/>
    <w:uiPriority w:val="0"/>
    <w:rPr>
      <w:rFonts w:ascii="宋体" w:hAnsi="Courier New" w:eastAsia="宋体" w:cs="Courier New"/>
      <w:kern w:val="2"/>
      <w:sz w:val="21"/>
      <w:szCs w:val="21"/>
    </w:rPr>
  </w:style>
  <w:style w:type="character" w:customStyle="1" w:styleId="63">
    <w:name w:val="font51"/>
    <w:basedOn w:val="27"/>
    <w:qFormat/>
    <w:uiPriority w:val="0"/>
    <w:rPr>
      <w:rFonts w:hint="eastAsia" w:ascii="宋体" w:hAnsi="宋体" w:eastAsia="宋体" w:cs="宋体"/>
      <w:color w:val="000000"/>
      <w:sz w:val="18"/>
      <w:szCs w:val="18"/>
      <w:u w:val="none"/>
    </w:rPr>
  </w:style>
  <w:style w:type="character" w:customStyle="1" w:styleId="64">
    <w:name w:val="font21"/>
    <w:basedOn w:val="27"/>
    <w:qFormat/>
    <w:uiPriority w:val="0"/>
    <w:rPr>
      <w:rFonts w:hint="eastAsia" w:ascii="黑体" w:hAnsi="宋体" w:eastAsia="黑体" w:cs="黑体"/>
      <w:b/>
      <w:color w:val="000000"/>
      <w:sz w:val="28"/>
      <w:szCs w:val="28"/>
      <w:u w:val="none"/>
    </w:rPr>
  </w:style>
  <w:style w:type="character" w:customStyle="1" w:styleId="65">
    <w:name w:val="列出段落 Char"/>
    <w:link w:val="38"/>
    <w:qFormat/>
    <w:locked/>
    <w:uiPriority w:val="0"/>
    <w:rPr>
      <w:rFonts w:ascii="Calibri" w:hAnsi="Calibri" w:eastAsia="宋体" w:cs="Times New Roman"/>
      <w:kern w:val="2"/>
      <w:sz w:val="21"/>
    </w:rPr>
  </w:style>
  <w:style w:type="character" w:customStyle="1" w:styleId="66">
    <w:name w:val="font01"/>
    <w:basedOn w:val="27"/>
    <w:qFormat/>
    <w:uiPriority w:val="0"/>
    <w:rPr>
      <w:rFonts w:ascii="Arial" w:hAnsi="Arial" w:cs="Arial"/>
      <w:b/>
      <w:color w:val="000000"/>
      <w:sz w:val="28"/>
      <w:szCs w:val="28"/>
      <w:u w:val="none"/>
    </w:rPr>
  </w:style>
  <w:style w:type="character" w:customStyle="1" w:styleId="67">
    <w:name w:val="标题 3 字符"/>
    <w:link w:val="5"/>
    <w:qFormat/>
    <w:uiPriority w:val="0"/>
    <w:rPr>
      <w:rFonts w:ascii="Calibri" w:hAnsi="Calibri" w:eastAsia="宋体" w:cs="Times New Roman"/>
      <w:b/>
      <w:bCs/>
      <w:kern w:val="2"/>
      <w:sz w:val="32"/>
      <w:szCs w:val="32"/>
    </w:rPr>
  </w:style>
  <w:style w:type="character" w:customStyle="1" w:styleId="68">
    <w:name w:val="页眉 字符"/>
    <w:link w:val="19"/>
    <w:qFormat/>
    <w:uiPriority w:val="99"/>
    <w:rPr>
      <w:rFonts w:eastAsia="宋体"/>
      <w:kern w:val="2"/>
      <w:sz w:val="18"/>
      <w:szCs w:val="18"/>
    </w:rPr>
  </w:style>
  <w:style w:type="character" w:customStyle="1" w:styleId="69">
    <w:name w:val="正文文本缩进 Char"/>
    <w:semiHidden/>
    <w:qFormat/>
    <w:uiPriority w:val="99"/>
    <w:rPr>
      <w:rFonts w:ascii="Calibri" w:hAnsi="Calibri" w:eastAsia="宋体" w:cs="Times New Roman"/>
      <w:kern w:val="2"/>
      <w:sz w:val="21"/>
    </w:rPr>
  </w:style>
  <w:style w:type="character" w:customStyle="1" w:styleId="70">
    <w:name w:val="纯文本 字符"/>
    <w:link w:val="16"/>
    <w:qFormat/>
    <w:uiPriority w:val="0"/>
    <w:rPr>
      <w:rFonts w:ascii="宋体" w:hAnsi="Courier New" w:eastAsia="宋体" w:cs="Courier New"/>
      <w:kern w:val="2"/>
      <w:sz w:val="21"/>
      <w:szCs w:val="21"/>
    </w:rPr>
  </w:style>
  <w:style w:type="character" w:customStyle="1" w:styleId="71">
    <w:name w:val="页脚 字符"/>
    <w:link w:val="18"/>
    <w:qFormat/>
    <w:uiPriority w:val="99"/>
    <w:rPr>
      <w:rFonts w:eastAsia="宋体"/>
      <w:kern w:val="2"/>
      <w:sz w:val="18"/>
      <w:szCs w:val="18"/>
    </w:rPr>
  </w:style>
  <w:style w:type="character" w:customStyle="1" w:styleId="72">
    <w:name w:val="font11"/>
    <w:basedOn w:val="27"/>
    <w:qFormat/>
    <w:uiPriority w:val="0"/>
    <w:rPr>
      <w:rFonts w:hint="eastAsia" w:ascii="宋体" w:hAnsi="宋体" w:eastAsia="宋体" w:cs="宋体"/>
      <w:color w:val="000000"/>
      <w:sz w:val="18"/>
      <w:szCs w:val="18"/>
      <w:u w:val="none"/>
    </w:rPr>
  </w:style>
  <w:style w:type="character" w:customStyle="1" w:styleId="73">
    <w:name w:val="font41"/>
    <w:basedOn w:val="27"/>
    <w:qFormat/>
    <w:uiPriority w:val="0"/>
    <w:rPr>
      <w:rFonts w:hint="default" w:ascii="Times New Roman" w:hAnsi="Times New Roman" w:cs="Times New Roman"/>
      <w:color w:val="000000"/>
      <w:sz w:val="18"/>
      <w:szCs w:val="18"/>
      <w:u w:val="none"/>
    </w:rPr>
  </w:style>
  <w:style w:type="character" w:customStyle="1" w:styleId="74">
    <w:name w:val="页脚 Char"/>
    <w:qFormat/>
    <w:uiPriority w:val="99"/>
    <w:rPr>
      <w:lang w:eastAsia="zh-CN"/>
    </w:rPr>
  </w:style>
  <w:style w:type="character" w:customStyle="1" w:styleId="75">
    <w:name w:val="正文文本 字符"/>
    <w:link w:val="13"/>
    <w:qFormat/>
    <w:uiPriority w:val="0"/>
    <w:rPr>
      <w:kern w:val="2"/>
      <w:sz w:val="21"/>
      <w:szCs w:val="24"/>
    </w:rPr>
  </w:style>
  <w:style w:type="character" w:customStyle="1" w:styleId="76">
    <w:name w:val="正文文本 Char1"/>
    <w:semiHidden/>
    <w:qFormat/>
    <w:uiPriority w:val="99"/>
    <w:rPr>
      <w:rFonts w:ascii="Calibri" w:hAnsi="Calibri" w:eastAsia="宋体" w:cs="Times New Roman"/>
      <w:kern w:val="2"/>
      <w:sz w:val="21"/>
    </w:rPr>
  </w:style>
  <w:style w:type="character" w:customStyle="1" w:styleId="77">
    <w:name w:val="批注框文本 字符"/>
    <w:link w:val="17"/>
    <w:semiHidden/>
    <w:qFormat/>
    <w:uiPriority w:val="99"/>
    <w:rPr>
      <w:rFonts w:eastAsia="宋体"/>
      <w:kern w:val="2"/>
      <w:sz w:val="18"/>
      <w:szCs w:val="18"/>
    </w:rPr>
  </w:style>
  <w:style w:type="paragraph" w:customStyle="1" w:styleId="78">
    <w:name w:val="列出段落11"/>
    <w:basedOn w:val="1"/>
    <w:qFormat/>
    <w:uiPriority w:val="0"/>
    <w:pPr>
      <w:ind w:firstLine="420" w:firstLineChars="200"/>
    </w:pPr>
  </w:style>
  <w:style w:type="paragraph" w:customStyle="1" w:styleId="79">
    <w:name w:val="图表文字"/>
    <w:next w:val="1"/>
    <w:qFormat/>
    <w:uiPriority w:val="0"/>
    <w:pPr>
      <w:widowControl w:val="0"/>
      <w:spacing w:beforeLines="50" w:afterLines="50"/>
      <w:jc w:val="center"/>
      <w:textAlignment w:val="center"/>
    </w:pPr>
    <w:rPr>
      <w:rFonts w:ascii="Arial" w:hAnsi="Arial" w:eastAsia="宋体" w:cs="Times New Roman"/>
      <w:sz w:val="21"/>
      <w:lang w:val="zh-CN" w:eastAsia="zh-CN" w:bidi="ar-SA"/>
    </w:rPr>
  </w:style>
  <w:style w:type="paragraph" w:customStyle="1" w:styleId="80">
    <w:name w:val="图表内文字"/>
    <w:basedOn w:val="81"/>
    <w:qFormat/>
    <w:uiPriority w:val="0"/>
    <w:pPr>
      <w:spacing w:line="240" w:lineRule="auto"/>
    </w:pPr>
    <w:rPr>
      <w:rFonts w:ascii="等线" w:hAnsi="等线"/>
    </w:rPr>
  </w:style>
  <w:style w:type="paragraph" w:customStyle="1" w:styleId="81">
    <w:name w:val="图表标题"/>
    <w:basedOn w:val="1"/>
    <w:next w:val="82"/>
    <w:qFormat/>
    <w:uiPriority w:val="0"/>
    <w:pPr>
      <w:spacing w:line="360" w:lineRule="auto"/>
      <w:jc w:val="center"/>
    </w:pPr>
    <w:rPr>
      <w:rFonts w:ascii="宋体"/>
      <w:b/>
      <w:color w:val="800000"/>
      <w:szCs w:val="21"/>
    </w:rPr>
  </w:style>
  <w:style w:type="paragraph" w:customStyle="1" w:styleId="82">
    <w:name w:val="标书正文"/>
    <w:basedOn w:val="1"/>
    <w:qFormat/>
    <w:uiPriority w:val="0"/>
    <w:pPr>
      <w:suppressAutoHyphens/>
      <w:autoSpaceDE w:val="0"/>
      <w:autoSpaceDN w:val="0"/>
      <w:adjustRightInd w:val="0"/>
      <w:snapToGrid w:val="0"/>
      <w:spacing w:line="360" w:lineRule="auto"/>
      <w:ind w:firstLine="200" w:firstLineChars="200"/>
    </w:pPr>
    <w:rPr>
      <w:rFonts w:ascii="宋体"/>
    </w:rPr>
  </w:style>
  <w:style w:type="paragraph" w:customStyle="1" w:styleId="83">
    <w:name w:val="列表段落1"/>
    <w:basedOn w:val="1"/>
    <w:qFormat/>
    <w:uiPriority w:val="0"/>
    <w:pPr>
      <w:ind w:firstLine="420" w:firstLineChars="200"/>
    </w:pPr>
    <w:rPr>
      <w:rFonts w:ascii="Calibri" w:hAnsi="Calibri"/>
    </w:rPr>
  </w:style>
  <w:style w:type="paragraph" w:customStyle="1" w:styleId="84">
    <w:name w:val="标题（1） + 宋体"/>
    <w:basedOn w:val="1"/>
    <w:qFormat/>
    <w:uiPriority w:val="0"/>
    <w:pPr>
      <w:spacing w:line="420" w:lineRule="exact"/>
      <w:ind w:firstLine="540"/>
    </w:pPr>
    <w:rPr>
      <w:rFonts w:ascii="宋体" w:hAnsi="宋体"/>
      <w:sz w:val="24"/>
    </w:rPr>
  </w:style>
  <w:style w:type="character" w:customStyle="1" w:styleId="85">
    <w:name w:val="标题 1 Char"/>
    <w:link w:val="3"/>
    <w:qFormat/>
    <w:uiPriority w:val="9"/>
    <w:rPr>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3855</Words>
  <Characters>4344</Characters>
  <Lines>329</Lines>
  <Paragraphs>92</Paragraphs>
  <TotalTime>0</TotalTime>
  <ScaleCrop>false</ScaleCrop>
  <LinksUpToDate>false</LinksUpToDate>
  <CharactersWithSpaces>4527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2020-04-01T23:59:00Z</dcterms:created>
  <dc:creator>user</dc:creator>
  <cp:lastModifiedBy>心有林夕</cp:lastModifiedBy>
  <cp:lastPrinted>2022-04-26T04:44:00Z</cp:lastPrinted>
  <dcterms:modified xsi:type="dcterms:W3CDTF">2022-04-29T07:06:14Z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KSOSaveFontToCloudKey">
    <vt:lpwstr>23878488_btnclosed</vt:lpwstr>
  </property>
  <property fmtid="{D5CDD505-2E9C-101B-9397-08002B2CF9AE}" pid="4" name="ICV">
    <vt:lpwstr>CC8A286ED92F4F089FB39D67DBA8D8B5</vt:lpwstr>
  </property>
</Properties>
</file>