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firstLine="562" w:firstLineChars="200"/>
        <w:rPr>
          <w:rFonts w:hint="eastAsia" w:cs="仿宋"/>
          <w:b/>
          <w:bCs/>
          <w:color w:val="auto"/>
          <w:sz w:val="32"/>
          <w:szCs w:val="32"/>
          <w:highlight w:val="none"/>
          <w:lang w:val="en-US" w:eastAsia="zh-CN"/>
        </w:rPr>
      </w:pPr>
      <w:r>
        <w:rPr>
          <w:rFonts w:hint="eastAsia" w:ascii="宋体" w:hAnsi="宋体" w:cs="宋体"/>
          <w:b/>
          <w:color w:val="auto"/>
          <w:sz w:val="28"/>
          <w:szCs w:val="28"/>
          <w:highlight w:val="none"/>
        </w:rPr>
        <w:t>附表一</w:t>
      </w:r>
    </w:p>
    <w:p>
      <w:pPr>
        <w:pStyle w:val="2"/>
        <w:ind w:firstLine="0"/>
        <w:jc w:val="center"/>
        <w:rPr>
          <w:rFonts w:hint="eastAsia" w:cs="仿宋"/>
          <w:b/>
          <w:bCs/>
          <w:color w:val="auto"/>
          <w:sz w:val="32"/>
          <w:szCs w:val="32"/>
          <w:highlight w:val="none"/>
          <w:lang w:eastAsia="zh-CN"/>
        </w:rPr>
      </w:pPr>
      <w:r>
        <w:rPr>
          <w:rFonts w:hint="eastAsia" w:ascii="宋体" w:hAnsi="宋体" w:eastAsia="宋体" w:cs="宋体"/>
          <w:b/>
          <w:bCs/>
          <w:color w:val="auto"/>
          <w:kern w:val="2"/>
          <w:sz w:val="24"/>
          <w:szCs w:val="24"/>
          <w:highlight w:val="none"/>
          <w:lang w:val="en-US" w:eastAsia="zh-CN" w:bidi="ar-SA"/>
        </w:rPr>
        <w:t>G5京昆高速公路绵阳至成都段扩容项目路面2标临建（土建部分）劳务合作</w:t>
      </w:r>
      <w:r>
        <w:rPr>
          <w:rFonts w:hint="eastAsia" w:ascii="宋体" w:hAnsi="宋体" w:cs="宋体"/>
          <w:b/>
          <w:bCs/>
          <w:color w:val="auto"/>
          <w:sz w:val="24"/>
          <w:szCs w:val="24"/>
          <w:highlight w:val="none"/>
          <w:lang w:eastAsia="zh-CN"/>
        </w:rPr>
        <w:t>项目</w:t>
      </w:r>
      <w:r>
        <w:rPr>
          <w:rFonts w:hint="eastAsia" w:cs="仿宋"/>
          <w:b/>
          <w:bCs/>
          <w:color w:val="auto"/>
          <w:sz w:val="28"/>
          <w:szCs w:val="28"/>
          <w:highlight w:val="none"/>
          <w:lang w:val="en-US" w:eastAsia="zh-CN"/>
        </w:rPr>
        <w:t>工程段划分、工期规模、工期统计表</w:t>
      </w:r>
    </w:p>
    <w:p>
      <w:pPr>
        <w:rPr>
          <w:rFonts w:hint="eastAsia"/>
          <w:color w:val="auto"/>
          <w:highlight w:val="none"/>
          <w:lang w:val="en-US" w:eastAsia="zh-CN"/>
        </w:rPr>
      </w:pPr>
    </w:p>
    <w:tbl>
      <w:tblPr>
        <w:tblStyle w:val="5"/>
        <w:tblpPr w:leftFromText="180" w:rightFromText="180" w:vertAnchor="text" w:horzAnchor="page" w:tblpX="1912" w:tblpY="163"/>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1922"/>
        <w:gridCol w:w="4151"/>
        <w:gridCol w:w="1853"/>
        <w:gridCol w:w="1747"/>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137" w:type="dxa"/>
            <w:noWrap w:val="0"/>
            <w:vAlign w:val="center"/>
          </w:tcPr>
          <w:p>
            <w:pPr>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分段名称</w:t>
            </w:r>
          </w:p>
        </w:tc>
        <w:tc>
          <w:tcPr>
            <w:tcW w:w="1922" w:type="dxa"/>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桩号</w:t>
            </w:r>
          </w:p>
        </w:tc>
        <w:tc>
          <w:tcPr>
            <w:tcW w:w="4151" w:type="dxa"/>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工程范围</w:t>
            </w:r>
          </w:p>
        </w:tc>
        <w:tc>
          <w:tcPr>
            <w:tcW w:w="1853" w:type="dxa"/>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工作内容</w:t>
            </w:r>
          </w:p>
        </w:tc>
        <w:tc>
          <w:tcPr>
            <w:tcW w:w="1747" w:type="dxa"/>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065" w:type="dxa"/>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1137" w:type="dxa"/>
            <w:noWrap w:val="0"/>
            <w:vAlign w:val="center"/>
          </w:tcPr>
          <w:p>
            <w:pPr>
              <w:jc w:val="center"/>
              <w:rPr>
                <w:rFonts w:hint="default" w:ascii="宋体" w:hAnsi="宋体" w:eastAsia="宋体" w:cs="宋体"/>
                <w:color w:val="auto"/>
                <w:szCs w:val="21"/>
                <w:highlight w:val="none"/>
                <w:lang w:val="en-US" w:eastAsia="zh-CN"/>
              </w:rPr>
            </w:pPr>
            <w:r>
              <w:rPr>
                <w:rFonts w:hint="eastAsia" w:ascii="宋体" w:hAnsi="宋体" w:eastAsia="宋体" w:cs="宋体"/>
                <w:b w:val="0"/>
                <w:bCs w:val="0"/>
                <w:color w:val="auto"/>
                <w:sz w:val="22"/>
                <w:szCs w:val="22"/>
                <w:highlight w:val="none"/>
                <w:u w:val="none"/>
                <w:lang w:val="en-US" w:eastAsia="zh-CN"/>
              </w:rPr>
              <w:t>LM2</w:t>
            </w:r>
          </w:p>
        </w:tc>
        <w:tc>
          <w:tcPr>
            <w:tcW w:w="1922" w:type="dxa"/>
            <w:noWrap w:val="0"/>
            <w:vAlign w:val="center"/>
          </w:tcPr>
          <w:p>
            <w:pPr>
              <w:jc w:val="center"/>
              <w:rPr>
                <w:rFonts w:hint="eastAsia" w:ascii="宋体" w:hAnsi="宋体" w:cs="宋体"/>
                <w:color w:val="auto"/>
                <w:szCs w:val="21"/>
                <w:highlight w:val="none"/>
              </w:rPr>
            </w:pPr>
            <w:r>
              <w:rPr>
                <w:rFonts w:hint="eastAsia" w:ascii="宋体" w:hAnsi="宋体" w:eastAsia="宋体" w:cs="宋体"/>
                <w:b w:val="0"/>
                <w:bCs w:val="0"/>
                <w:color w:val="auto"/>
                <w:sz w:val="22"/>
                <w:szCs w:val="22"/>
                <w:highlight w:val="none"/>
                <w:u w:val="none"/>
                <w:lang w:val="en-US" w:eastAsia="zh-CN"/>
              </w:rPr>
              <w:t>K72+400、</w:t>
            </w:r>
            <w:r>
              <w:rPr>
                <w:rFonts w:hint="eastAsia" w:asciiTheme="majorEastAsia" w:hAnsiTheme="majorEastAsia" w:eastAsiaTheme="majorEastAsia" w:cstheme="majorEastAsia"/>
                <w:color w:val="auto"/>
                <w:sz w:val="22"/>
                <w:szCs w:val="22"/>
                <w:highlight w:val="none"/>
                <w:lang w:val="en-US" w:eastAsia="zh-CN"/>
              </w:rPr>
              <w:t>K82+200、K83+700</w:t>
            </w:r>
          </w:p>
        </w:tc>
        <w:tc>
          <w:tcPr>
            <w:tcW w:w="4151" w:type="dxa"/>
            <w:noWrap w:val="0"/>
            <w:vAlign w:val="center"/>
          </w:tcPr>
          <w:p>
            <w:pPr>
              <w:ind w:firstLine="440" w:firstLineChars="200"/>
              <w:jc w:val="left"/>
              <w:rPr>
                <w:rFonts w:hint="default" w:ascii="宋体" w:hAnsi="宋体" w:cs="宋体"/>
                <w:color w:val="auto"/>
                <w:szCs w:val="21"/>
                <w:highlight w:val="none"/>
                <w:lang w:val="en-US"/>
              </w:rPr>
            </w:pPr>
            <w:r>
              <w:rPr>
                <w:rFonts w:hint="eastAsia" w:ascii="宋体" w:hAnsi="宋体" w:eastAsia="宋体" w:cs="宋体"/>
                <w:b w:val="0"/>
                <w:bCs w:val="0"/>
                <w:color w:val="auto"/>
                <w:sz w:val="22"/>
                <w:szCs w:val="22"/>
                <w:highlight w:val="none"/>
                <w:u w:val="none"/>
                <w:lang w:val="en-US" w:eastAsia="zh-CN"/>
              </w:rPr>
              <w:t>K72+400弃土场便道位于新中镇建兴村新中枢纽互通处起点溪月谷至韩家湾桥左侧道路长度约3公里</w:t>
            </w:r>
            <w:r>
              <w:rPr>
                <w:rFonts w:hint="eastAsia" w:ascii="宋体" w:hAnsi="宋体" w:cs="宋体"/>
                <w:b w:val="0"/>
                <w:bCs w:val="0"/>
                <w:color w:val="auto"/>
                <w:sz w:val="22"/>
                <w:szCs w:val="22"/>
                <w:highlight w:val="none"/>
                <w:u w:val="none"/>
                <w:lang w:val="en-US" w:eastAsia="zh-CN"/>
              </w:rPr>
              <w:t>；</w:t>
            </w:r>
            <w:r>
              <w:rPr>
                <w:rFonts w:hint="eastAsia" w:ascii="宋体" w:hAnsi="宋体" w:eastAsia="宋体" w:cs="宋体"/>
                <w:b w:val="0"/>
                <w:bCs w:val="0"/>
                <w:color w:val="auto"/>
                <w:sz w:val="22"/>
                <w:szCs w:val="22"/>
                <w:highlight w:val="none"/>
                <w:u w:val="none"/>
                <w:lang w:val="en-US" w:eastAsia="zh-CN"/>
              </w:rPr>
              <w:t xml:space="preserve"> K82+200弃土场便道位于和新镇毛家湾大桥左侧至线外弃土场长度约为400米，便道宽度设计为6米</w:t>
            </w:r>
            <w:r>
              <w:rPr>
                <w:rFonts w:hint="eastAsia" w:ascii="宋体" w:hAnsi="宋体" w:cs="宋体"/>
                <w:b w:val="0"/>
                <w:bCs w:val="0"/>
                <w:color w:val="auto"/>
                <w:sz w:val="22"/>
                <w:szCs w:val="22"/>
                <w:highlight w:val="none"/>
                <w:u w:val="none"/>
                <w:lang w:val="en-US" w:eastAsia="zh-CN"/>
              </w:rPr>
              <w:t>；</w:t>
            </w:r>
            <w:r>
              <w:rPr>
                <w:rFonts w:hint="eastAsia" w:asciiTheme="majorEastAsia" w:hAnsiTheme="majorEastAsia" w:eastAsiaTheme="majorEastAsia" w:cstheme="majorEastAsia"/>
                <w:color w:val="auto"/>
                <w:sz w:val="22"/>
                <w:szCs w:val="22"/>
                <w:highlight w:val="none"/>
                <w:lang w:val="en-US" w:eastAsia="zh-CN"/>
              </w:rPr>
              <w:t>K83+700弃土场位于和新镇，</w:t>
            </w:r>
            <w:r>
              <w:rPr>
                <w:rFonts w:hint="eastAsia"/>
                <w:color w:val="auto"/>
                <w:highlight w:val="none"/>
              </w:rPr>
              <w:t>占地约</w:t>
            </w:r>
            <w:r>
              <w:rPr>
                <w:rFonts w:hint="eastAsia" w:ascii="宋体" w:hAnsi="宋体" w:eastAsia="宋体" w:cs="宋体"/>
                <w:b w:val="0"/>
                <w:bCs w:val="0"/>
                <w:color w:val="auto"/>
                <w:sz w:val="22"/>
                <w:szCs w:val="22"/>
                <w:highlight w:val="none"/>
                <w:u w:val="none"/>
                <w:lang w:val="en-US" w:eastAsia="zh-CN"/>
              </w:rPr>
              <w:t>10</w:t>
            </w:r>
            <w:r>
              <w:rPr>
                <w:rFonts w:hint="eastAsia"/>
                <w:color w:val="auto"/>
                <w:highlight w:val="none"/>
              </w:rPr>
              <w:t>亩</w:t>
            </w:r>
            <w:r>
              <w:rPr>
                <w:rFonts w:hint="eastAsia"/>
                <w:color w:val="auto"/>
                <w:highlight w:val="none"/>
                <w:lang w:eastAsia="zh-CN"/>
              </w:rPr>
              <w:t>，</w:t>
            </w:r>
            <w:r>
              <w:rPr>
                <w:rFonts w:hint="eastAsia"/>
                <w:color w:val="auto"/>
                <w:highlight w:val="none"/>
                <w:lang w:val="en-US" w:eastAsia="zh-CN"/>
              </w:rPr>
              <w:t>交通便利，离主线较近。</w:t>
            </w:r>
          </w:p>
        </w:tc>
        <w:tc>
          <w:tcPr>
            <w:tcW w:w="1853" w:type="dxa"/>
            <w:noWrap w:val="0"/>
            <w:vAlign w:val="center"/>
          </w:tcPr>
          <w:p>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基础、砂浆抹面、现浇排水沟</w:t>
            </w:r>
          </w:p>
        </w:tc>
        <w:tc>
          <w:tcPr>
            <w:tcW w:w="1747" w:type="dxa"/>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个月(最终以招标人要求为准)</w:t>
            </w:r>
          </w:p>
        </w:tc>
        <w:tc>
          <w:tcPr>
            <w:tcW w:w="2065" w:type="dxa"/>
            <w:noWrap w:val="0"/>
            <w:vAlign w:val="center"/>
          </w:tcPr>
          <w:p>
            <w:pPr>
              <w:jc w:val="left"/>
              <w:rPr>
                <w:rFonts w:hint="eastAsia" w:ascii="宋体" w:hAnsi="宋体" w:cs="宋体"/>
                <w:color w:val="auto"/>
                <w:szCs w:val="21"/>
                <w:highlight w:val="none"/>
              </w:rPr>
            </w:pPr>
          </w:p>
        </w:tc>
      </w:tr>
    </w:tbl>
    <w:p>
      <w:pPr>
        <w:pStyle w:val="2"/>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b w:val="0"/>
          <w:bCs/>
          <w:color w:val="auto"/>
          <w:sz w:val="28"/>
          <w:szCs w:val="28"/>
          <w:highlight w:val="none"/>
        </w:rPr>
      </w:pPr>
    </w:p>
    <w:p>
      <w:pPr>
        <w:rPr>
          <w:rFonts w:hint="eastAsia" w:ascii="宋体" w:hAnsi="宋体" w:eastAsia="宋体" w:cs="宋体"/>
          <w:b w:val="0"/>
          <w:bCs/>
          <w:color w:val="auto"/>
          <w:sz w:val="28"/>
          <w:szCs w:val="28"/>
          <w:highlight w:val="none"/>
        </w:rPr>
      </w:pPr>
    </w:p>
    <w:p>
      <w:pPr>
        <w:pStyle w:val="2"/>
        <w:rPr>
          <w:rFonts w:hint="eastAsia"/>
          <w:color w:val="auto"/>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color w:val="auto"/>
          <w:highlight w:val="none"/>
        </w:rPr>
      </w:pPr>
    </w:p>
    <w:p>
      <w:pPr>
        <w:pStyle w:val="2"/>
        <w:ind w:firstLine="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G5京昆高速公路绵阳至成都段扩容项目路面2标临建（土建部分）劳务合作</w:t>
      </w:r>
      <w:r>
        <w:rPr>
          <w:rFonts w:hint="eastAsia" w:ascii="仿宋" w:hAnsi="仿宋" w:eastAsia="仿宋" w:cs="仿宋"/>
          <w:b/>
          <w:bCs/>
          <w:color w:val="auto"/>
          <w:sz w:val="28"/>
          <w:szCs w:val="28"/>
          <w:highlight w:val="none"/>
          <w:lang w:eastAsia="zh-CN"/>
        </w:rPr>
        <w:t>项目</w:t>
      </w:r>
      <w:r>
        <w:rPr>
          <w:rFonts w:hint="eastAsia" w:ascii="仿宋" w:hAnsi="仿宋" w:eastAsia="仿宋" w:cs="仿宋"/>
          <w:b/>
          <w:bCs/>
          <w:color w:val="auto"/>
          <w:sz w:val="28"/>
          <w:szCs w:val="28"/>
          <w:highlight w:val="none"/>
        </w:rPr>
        <w:t>施工企业资质等级要求</w:t>
      </w:r>
      <w:r>
        <w:rPr>
          <w:rFonts w:hint="eastAsia" w:ascii="仿宋" w:hAnsi="仿宋" w:eastAsia="仿宋" w:cs="仿宋"/>
          <w:b/>
          <w:bCs/>
          <w:color w:val="auto"/>
          <w:sz w:val="28"/>
          <w:szCs w:val="28"/>
          <w:highlight w:val="none"/>
          <w:lang w:eastAsia="zh-CN"/>
        </w:rPr>
        <w:t>、业绩基本</w:t>
      </w:r>
      <w:r>
        <w:rPr>
          <w:rFonts w:hint="eastAsia" w:ascii="仿宋" w:hAnsi="仿宋" w:eastAsia="仿宋" w:cs="仿宋"/>
          <w:b/>
          <w:bCs/>
          <w:color w:val="auto"/>
          <w:sz w:val="28"/>
          <w:szCs w:val="28"/>
          <w:highlight w:val="none"/>
        </w:rPr>
        <w:t>要求</w:t>
      </w:r>
    </w:p>
    <w:p>
      <w:pPr>
        <w:rPr>
          <w:rFonts w:hint="eastAsia"/>
          <w:color w:val="auto"/>
          <w:highlight w:val="none"/>
        </w:rPr>
      </w:pPr>
    </w:p>
    <w:tbl>
      <w:tblPr>
        <w:tblStyle w:val="5"/>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417"/>
        <w:gridCol w:w="2038"/>
        <w:gridCol w:w="3822"/>
        <w:gridCol w:w="4952"/>
        <w:gridCol w:w="1109"/>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序号</w:t>
            </w:r>
          </w:p>
        </w:tc>
        <w:tc>
          <w:tcPr>
            <w:tcW w:w="14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分段名称</w:t>
            </w:r>
          </w:p>
        </w:tc>
        <w:tc>
          <w:tcPr>
            <w:tcW w:w="203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特征</w:t>
            </w:r>
          </w:p>
        </w:tc>
        <w:tc>
          <w:tcPr>
            <w:tcW w:w="382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施工企业资质等级要求</w:t>
            </w:r>
          </w:p>
        </w:tc>
        <w:tc>
          <w:tcPr>
            <w:tcW w:w="49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业绩基本要求</w:t>
            </w:r>
          </w:p>
        </w:tc>
        <w:tc>
          <w:tcPr>
            <w:tcW w:w="11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14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203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38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49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11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r>
      <w:tr>
        <w:tblPrEx>
          <w:tblCellMar>
            <w:top w:w="0" w:type="dxa"/>
            <w:left w:w="0" w:type="dxa"/>
            <w:bottom w:w="0" w:type="dxa"/>
            <w:right w:w="0" w:type="dxa"/>
          </w:tblCellMar>
        </w:tblPrEx>
        <w:trPr>
          <w:trHeight w:val="2702"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1</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LM2</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default"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临建工程、土建部分</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 xml:space="preserve"> 具有政府主管部门颁布的公路工程施工总承包三级及以上资质或施工劳务资质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五年内（2017年5月1日至今，以合同签订时间为准）完成类似的劳务合作工程项目施工业绩1个及以上。</w:t>
            </w:r>
          </w:p>
          <w:p>
            <w:pPr>
              <w:pStyle w:val="2"/>
              <w:rPr>
                <w:rFonts w:hint="eastAsia"/>
                <w:color w:val="auto"/>
                <w:highlight w:val="none"/>
                <w:lang w:val="en-US" w:eastAsia="zh-CN"/>
              </w:rPr>
            </w:pPr>
          </w:p>
        </w:tc>
        <w:tc>
          <w:tcPr>
            <w:tcW w:w="1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0"/>
                <w:szCs w:val="20"/>
                <w:highlight w:val="none"/>
                <w:lang w:val="en-US" w:eastAsia="zh-CN" w:bidi="ar"/>
              </w:rPr>
            </w:pPr>
          </w:p>
        </w:tc>
      </w:tr>
    </w:tbl>
    <w:p>
      <w:pPr>
        <w:pStyle w:val="2"/>
        <w:ind w:left="0" w:leftChars="0" w:firstLine="0" w:firstLineChars="0"/>
        <w:rPr>
          <w:rFonts w:ascii="宋体" w:hAnsi="宋体" w:cs="宋体"/>
          <w:b/>
          <w:color w:val="auto"/>
          <w:sz w:val="32"/>
          <w:szCs w:val="32"/>
          <w:highlight w:val="none"/>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color w:val="auto"/>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5"/>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bCs/>
                <w:color w:val="auto"/>
                <w:sz w:val="28"/>
                <w:szCs w:val="28"/>
                <w:highlight w:val="none"/>
                <w:lang w:val="en-US" w:eastAsia="zh-CN"/>
              </w:rPr>
              <w:t>G5京昆高速公路绵阳至成都段扩容项目路面2标临建（土建部分）劳务合作</w:t>
            </w:r>
            <w:r>
              <w:rPr>
                <w:rFonts w:hint="eastAsia" w:ascii="仿宋" w:hAnsi="仿宋" w:eastAsia="仿宋" w:cs="仿宋"/>
                <w:b/>
                <w:bCs/>
                <w:color w:val="auto"/>
                <w:sz w:val="28"/>
                <w:szCs w:val="28"/>
                <w:highlight w:val="none"/>
                <w:lang w:eastAsia="zh-CN"/>
              </w:rPr>
              <w:t>项目</w:t>
            </w:r>
            <w:r>
              <w:rPr>
                <w:rFonts w:hint="eastAsia" w:ascii="仿宋" w:hAnsi="仿宋" w:eastAsia="仿宋" w:cs="仿宋"/>
                <w:b/>
                <w:color w:val="auto"/>
                <w:kern w:val="0"/>
                <w:sz w:val="28"/>
                <w:szCs w:val="28"/>
                <w:highlight w:val="none"/>
                <w:lang w:bidi="ar"/>
              </w:rPr>
              <w:t>拟投入人员</w:t>
            </w:r>
            <w:r>
              <w:rPr>
                <w:rFonts w:hint="eastAsia" w:ascii="仿宋" w:hAnsi="仿宋" w:eastAsia="仿宋" w:cs="仿宋"/>
                <w:b/>
                <w:color w:val="auto"/>
                <w:kern w:val="0"/>
                <w:sz w:val="28"/>
                <w:szCs w:val="28"/>
                <w:highlight w:val="none"/>
                <w:lang w:val="en-US" w:eastAsia="zh-CN" w:bidi="ar"/>
              </w:rPr>
              <w:t>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color w:val="auto"/>
                <w:kern w:val="0"/>
                <w:sz w:val="28"/>
                <w:szCs w:val="28"/>
                <w:highlight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牵头负责项目施工全面工作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协助项目负责人负责项目进度、技术、质量等工作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安全负责人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lang w:val="en-US"/>
              </w:rPr>
            </w:pPr>
            <w:r>
              <w:rPr>
                <w:rFonts w:hint="eastAsia" w:asciiTheme="minorEastAsia" w:hAnsiTheme="minorEastAsia" w:eastAsiaTheme="minorEastAsia" w:cstheme="minorEastAsia"/>
                <w:i w:val="0"/>
                <w:color w:val="auto"/>
                <w:kern w:val="0"/>
                <w:sz w:val="21"/>
                <w:szCs w:val="21"/>
                <w:highlight w:val="none"/>
                <w:u w:val="none"/>
                <w:lang w:val="en-US" w:eastAsia="zh-CN" w:bidi="ar"/>
              </w:rPr>
              <w:t>负责现场安全、安全交底、安全检查</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Theme="minorEastAsia" w:hAnsiTheme="minorEastAsia" w:eastAsiaTheme="minorEastAsia" w:cstheme="minorEastAsia"/>
                <w:i w:val="0"/>
                <w:color w:val="auto"/>
                <w:sz w:val="21"/>
                <w:szCs w:val="21"/>
                <w:highlight w:val="none"/>
                <w:u w:val="none"/>
                <w:lang w:val="en-US" w:eastAsia="zh-CN"/>
              </w:rPr>
              <w:t>持安全C证以及相关工作经验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4</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现场技术员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eastAsia="宋体" w:asciiTheme="minorEastAsia" w:hAnsiTheme="minorEastAsia" w:cstheme="minorEastAsia"/>
                <w:i w:val="0"/>
                <w:color w:val="auto"/>
                <w:kern w:val="0"/>
                <w:sz w:val="21"/>
                <w:szCs w:val="21"/>
                <w:highlight w:val="none"/>
                <w:u w:val="none"/>
                <w:lang w:val="en-US" w:eastAsia="zh-CN" w:bidi="ar"/>
              </w:rPr>
            </w:pPr>
            <w:r>
              <w:rPr>
                <w:rFonts w:hint="eastAsia" w:ascii="宋体" w:hAnsi="宋体" w:cs="宋体"/>
                <w:color w:val="auto"/>
                <w:kern w:val="0"/>
                <w:szCs w:val="21"/>
                <w:highlight w:val="none"/>
                <w:lang w:bidi="ar"/>
              </w:rPr>
              <w:t>负责现场测量、放线工作</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内业工作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宋体" w:hAnsi="宋体" w:cs="宋体"/>
                <w:color w:val="auto"/>
                <w:kern w:val="0"/>
                <w:szCs w:val="21"/>
                <w:highlight w:val="none"/>
                <w:lang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1、本表为主要人员的最低要求，投标人应根据施工需要或</w:t>
            </w:r>
            <w:r>
              <w:rPr>
                <w:rFonts w:hint="eastAsia" w:ascii="宋体" w:hAnsi="宋体" w:cs="宋体"/>
                <w:i w:val="0"/>
                <w:color w:val="auto"/>
                <w:kern w:val="0"/>
                <w:sz w:val="18"/>
                <w:szCs w:val="18"/>
                <w:highlight w:val="none"/>
                <w:u w:val="none"/>
                <w:lang w:val="en-US" w:eastAsia="zh-CN" w:bidi="ar"/>
              </w:rPr>
              <w:t>招标</w:t>
            </w:r>
            <w:r>
              <w:rPr>
                <w:rFonts w:hint="eastAsia" w:ascii="宋体" w:hAnsi="宋体" w:eastAsia="宋体" w:cs="宋体"/>
                <w:i w:val="0"/>
                <w:color w:val="auto"/>
                <w:kern w:val="0"/>
                <w:sz w:val="18"/>
                <w:szCs w:val="18"/>
                <w:highlight w:val="none"/>
                <w:u w:val="none"/>
                <w:lang w:val="en-US" w:eastAsia="zh-CN" w:bidi="ar"/>
              </w:rPr>
              <w:t xml:space="preserve">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w:t>
            </w:r>
            <w:r>
              <w:rPr>
                <w:rFonts w:hint="eastAsia" w:ascii="宋体" w:hAnsi="宋体" w:cs="宋体"/>
                <w:i w:val="0"/>
                <w:color w:val="auto"/>
                <w:kern w:val="0"/>
                <w:sz w:val="18"/>
                <w:szCs w:val="18"/>
                <w:highlight w:val="none"/>
                <w:u w:val="none"/>
                <w:lang w:val="en-US" w:eastAsia="zh-CN" w:bidi="ar"/>
              </w:rPr>
              <w:t>招标人</w:t>
            </w:r>
            <w:r>
              <w:rPr>
                <w:rFonts w:hint="eastAsia" w:ascii="宋体" w:hAnsi="宋体" w:eastAsia="宋体" w:cs="宋体"/>
                <w:i w:val="0"/>
                <w:color w:val="auto"/>
                <w:kern w:val="0"/>
                <w:sz w:val="18"/>
                <w:szCs w:val="18"/>
                <w:highlight w:val="none"/>
                <w:u w:val="none"/>
                <w:lang w:val="en-US" w:eastAsia="zh-CN" w:bidi="ar"/>
              </w:rPr>
              <w:t>批准，更换人员的资质不能低于</w:t>
            </w:r>
            <w:r>
              <w:rPr>
                <w:rFonts w:hint="eastAsia" w:ascii="宋体" w:hAnsi="宋体" w:cs="宋体"/>
                <w:i w:val="0"/>
                <w:color w:val="auto"/>
                <w:kern w:val="0"/>
                <w:sz w:val="18"/>
                <w:szCs w:val="18"/>
                <w:highlight w:val="none"/>
                <w:u w:val="none"/>
                <w:lang w:val="en-US" w:eastAsia="zh-CN" w:bidi="ar"/>
              </w:rPr>
              <w:t>招标</w:t>
            </w:r>
            <w:r>
              <w:rPr>
                <w:rFonts w:hint="eastAsia" w:ascii="宋体" w:hAnsi="宋体" w:eastAsia="宋体" w:cs="宋体"/>
                <w:i w:val="0"/>
                <w:color w:val="auto"/>
                <w:kern w:val="0"/>
                <w:sz w:val="18"/>
                <w:szCs w:val="18"/>
                <w:highlight w:val="none"/>
                <w:u w:val="none"/>
                <w:lang w:val="en-US" w:eastAsia="zh-CN" w:bidi="ar"/>
              </w:rPr>
              <w:t>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color w:val="auto"/>
          <w:highlight w:val="none"/>
        </w:rPr>
      </w:pPr>
      <w:r>
        <w:rPr>
          <w:rFonts w:hint="eastAsia" w:ascii="宋体" w:hAnsi="宋体" w:eastAsia="宋体" w:cs="宋体"/>
          <w:b/>
          <w:color w:val="auto"/>
          <w:sz w:val="28"/>
          <w:szCs w:val="28"/>
          <w:highlight w:val="none"/>
        </w:rPr>
        <w:t>附表四</w:t>
      </w:r>
    </w:p>
    <w:tbl>
      <w:tblPr>
        <w:tblStyle w:val="5"/>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G5京昆高速公路绵阳至成都段扩容项目路面2标临建（土建部分）劳务合作项目</w:t>
            </w: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投入设备配置表</w:t>
            </w:r>
          </w:p>
          <w:tbl>
            <w:tblPr>
              <w:tblStyle w:val="5"/>
              <w:tblpPr w:leftFromText="180" w:rightFromText="180" w:vertAnchor="text" w:horzAnchor="page" w:tblpXSpec="center" w:tblpY="462"/>
              <w:tblOverlap w:val="never"/>
              <w:tblW w:w="9525" w:type="dxa"/>
              <w:jc w:val="center"/>
              <w:tblLayout w:type="fixed"/>
              <w:tblCellMar>
                <w:top w:w="0" w:type="dxa"/>
                <w:left w:w="108" w:type="dxa"/>
                <w:bottom w:w="0" w:type="dxa"/>
                <w:right w:w="108" w:type="dxa"/>
              </w:tblCellMar>
            </w:tblPr>
            <w:tblGrid>
              <w:gridCol w:w="651"/>
              <w:gridCol w:w="1462"/>
              <w:gridCol w:w="1335"/>
              <w:gridCol w:w="728"/>
              <w:gridCol w:w="728"/>
              <w:gridCol w:w="861"/>
              <w:gridCol w:w="705"/>
              <w:gridCol w:w="1119"/>
              <w:gridCol w:w="825"/>
              <w:gridCol w:w="1111"/>
            </w:tblGrid>
            <w:tr>
              <w:tblPrEx>
                <w:tblCellMar>
                  <w:top w:w="0" w:type="dxa"/>
                  <w:left w:w="108" w:type="dxa"/>
                  <w:bottom w:w="0" w:type="dxa"/>
                  <w:right w:w="108" w:type="dxa"/>
                </w:tblCellMar>
              </w:tblPrEx>
              <w:trPr>
                <w:trHeight w:val="344" w:hRule="atLeast"/>
                <w:jc w:val="center"/>
              </w:trPr>
              <w:tc>
                <w:tcPr>
                  <w:tcW w:w="651"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color w:val="auto"/>
                      <w:szCs w:val="21"/>
                      <w:highlight w:val="none"/>
                    </w:rPr>
                  </w:pPr>
                  <w:r>
                    <w:rPr>
                      <w:rFonts w:hint="eastAsia"/>
                      <w:color w:val="auto"/>
                      <w:szCs w:val="21"/>
                      <w:highlight w:val="none"/>
                    </w:rPr>
                    <w:t>序号</w:t>
                  </w:r>
                </w:p>
              </w:tc>
              <w:tc>
                <w:tcPr>
                  <w:tcW w:w="1462"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color w:val="auto"/>
                      <w:szCs w:val="21"/>
                      <w:highlight w:val="none"/>
                    </w:rPr>
                  </w:pPr>
                  <w:r>
                    <w:rPr>
                      <w:rFonts w:hint="eastAsia"/>
                      <w:color w:val="auto"/>
                      <w:szCs w:val="21"/>
                      <w:highlight w:val="none"/>
                    </w:rPr>
                    <w:t>机械设备</w:t>
                  </w:r>
                </w:p>
                <w:p>
                  <w:pPr>
                    <w:pStyle w:val="7"/>
                    <w:kinsoku w:val="0"/>
                    <w:overflowPunct w:val="0"/>
                    <w:spacing w:line="260" w:lineRule="exact"/>
                    <w:jc w:val="center"/>
                    <w:rPr>
                      <w:color w:val="auto"/>
                      <w:szCs w:val="21"/>
                      <w:highlight w:val="none"/>
                    </w:rPr>
                  </w:pPr>
                  <w:r>
                    <w:rPr>
                      <w:rFonts w:hint="eastAsia"/>
                      <w:color w:val="auto"/>
                      <w:szCs w:val="21"/>
                      <w:highlight w:val="none"/>
                    </w:rPr>
                    <w:t>名称</w:t>
                  </w:r>
                </w:p>
              </w:tc>
              <w:tc>
                <w:tcPr>
                  <w:tcW w:w="133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规格、型号</w:t>
                  </w:r>
                </w:p>
              </w:tc>
              <w:tc>
                <w:tcPr>
                  <w:tcW w:w="72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出厂日期</w:t>
                  </w:r>
                </w:p>
              </w:tc>
              <w:tc>
                <w:tcPr>
                  <w:tcW w:w="72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单位</w:t>
                  </w:r>
                </w:p>
              </w:tc>
              <w:tc>
                <w:tcPr>
                  <w:tcW w:w="156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line="260" w:lineRule="exact"/>
                    <w:jc w:val="center"/>
                    <w:rPr>
                      <w:bCs/>
                      <w:color w:val="auto"/>
                      <w:szCs w:val="21"/>
                      <w:highlight w:val="none"/>
                      <w:lang w:val="en-US" w:bidi="ar-SA"/>
                    </w:rPr>
                  </w:pPr>
                  <w:r>
                    <w:rPr>
                      <w:rFonts w:hint="eastAsia"/>
                      <w:color w:val="auto"/>
                      <w:szCs w:val="21"/>
                      <w:highlight w:val="none"/>
                      <w:lang w:val="en-US" w:bidi="ar-SA"/>
                    </w:rPr>
                    <w:t>基本要求</w:t>
                  </w:r>
                </w:p>
              </w:tc>
              <w:tc>
                <w:tcPr>
                  <w:tcW w:w="1119"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color w:val="auto"/>
                      <w:szCs w:val="21"/>
                      <w:highlight w:val="none"/>
                    </w:rPr>
                  </w:pPr>
                  <w:r>
                    <w:rPr>
                      <w:rFonts w:hint="eastAsia" w:ascii="宋体" w:hAnsi="宋体" w:cs="宋体"/>
                      <w:color w:val="auto"/>
                      <w:highlight w:val="none"/>
                    </w:rPr>
                    <w:t>每增加一台自有设备加分值</w:t>
                  </w:r>
                </w:p>
              </w:tc>
              <w:tc>
                <w:tcPr>
                  <w:tcW w:w="825" w:type="dxa"/>
                  <w:vMerge w:val="restart"/>
                  <w:tcBorders>
                    <w:top w:val="single" w:color="000000" w:sz="4" w:space="0"/>
                    <w:left w:val="single" w:color="000000" w:sz="4" w:space="0"/>
                    <w:right w:val="single" w:color="auto" w:sz="4" w:space="0"/>
                    <w:tl2br w:val="nil"/>
                    <w:tr2bl w:val="nil"/>
                  </w:tcBorders>
                  <w:vAlign w:val="center"/>
                </w:tcPr>
                <w:p>
                  <w:pPr>
                    <w:pStyle w:val="7"/>
                    <w:kinsoku w:val="0"/>
                    <w:overflowPunct w:val="0"/>
                    <w:spacing w:line="260" w:lineRule="exact"/>
                    <w:jc w:val="center"/>
                    <w:rPr>
                      <w:color w:val="auto"/>
                      <w:szCs w:val="21"/>
                      <w:highlight w:val="none"/>
                      <w:lang w:val="en-US" w:bidi="ar-SA"/>
                    </w:rPr>
                  </w:pPr>
                  <w:r>
                    <w:rPr>
                      <w:rFonts w:hint="eastAsia"/>
                      <w:color w:val="auto"/>
                      <w:szCs w:val="21"/>
                      <w:highlight w:val="none"/>
                      <w:lang w:val="en-US" w:bidi="ar-SA"/>
                    </w:rPr>
                    <w:t>加分上限</w:t>
                  </w:r>
                </w:p>
              </w:tc>
              <w:tc>
                <w:tcPr>
                  <w:tcW w:w="11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color w:val="auto"/>
                      <w:szCs w:val="21"/>
                      <w:highlight w:val="none"/>
                      <w:lang w:val="en-US" w:bidi="ar-SA"/>
                    </w:rPr>
                  </w:pPr>
                  <w:r>
                    <w:rPr>
                      <w:rFonts w:hint="eastAsia"/>
                      <w:color w:val="auto"/>
                      <w:szCs w:val="21"/>
                      <w:highlight w:val="none"/>
                      <w:lang w:val="en-US" w:bidi="ar-SA"/>
                    </w:rPr>
                    <w:t>备注</w:t>
                  </w:r>
                </w:p>
              </w:tc>
            </w:tr>
            <w:tr>
              <w:tblPrEx>
                <w:tblCellMar>
                  <w:top w:w="0" w:type="dxa"/>
                  <w:left w:w="108" w:type="dxa"/>
                  <w:bottom w:w="0" w:type="dxa"/>
                  <w:right w:w="108" w:type="dxa"/>
                </w:tblCellMar>
              </w:tblPrEx>
              <w:trPr>
                <w:trHeight w:val="378" w:hRule="atLeast"/>
                <w:jc w:val="center"/>
              </w:trPr>
              <w:tc>
                <w:tcPr>
                  <w:tcW w:w="65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Cs w:val="21"/>
                      <w:highlight w:val="none"/>
                    </w:rPr>
                  </w:pPr>
                </w:p>
              </w:tc>
              <w:tc>
                <w:tcPr>
                  <w:tcW w:w="146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Cs w:val="21"/>
                      <w:highlight w:val="none"/>
                    </w:rPr>
                  </w:pPr>
                </w:p>
              </w:tc>
              <w:tc>
                <w:tcPr>
                  <w:tcW w:w="133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Cs w:val="21"/>
                      <w:highlight w:val="none"/>
                    </w:rPr>
                  </w:pPr>
                </w:p>
              </w:tc>
              <w:tc>
                <w:tcPr>
                  <w:tcW w:w="72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Cs w:val="21"/>
                      <w:highlight w:val="none"/>
                    </w:rPr>
                  </w:pPr>
                </w:p>
              </w:tc>
              <w:tc>
                <w:tcPr>
                  <w:tcW w:w="72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Cs w:val="21"/>
                      <w:highlight w:val="none"/>
                    </w:rPr>
                  </w:pPr>
                </w:p>
              </w:tc>
              <w:tc>
                <w:tcPr>
                  <w:tcW w:w="86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line="260" w:lineRule="exact"/>
                    <w:jc w:val="center"/>
                    <w:rPr>
                      <w:rFonts w:hint="eastAsia" w:eastAsia="宋体"/>
                      <w:bCs/>
                      <w:color w:val="auto"/>
                      <w:szCs w:val="21"/>
                      <w:highlight w:val="none"/>
                      <w:lang w:val="en-US" w:eastAsia="zh-CN" w:bidi="ar-SA"/>
                    </w:rPr>
                  </w:pPr>
                  <w:r>
                    <w:rPr>
                      <w:rFonts w:hint="eastAsia"/>
                      <w:color w:val="auto"/>
                      <w:szCs w:val="21"/>
                      <w:highlight w:val="none"/>
                      <w:lang w:val="en-US" w:bidi="ar-SA"/>
                    </w:rPr>
                    <w:t>总数量</w:t>
                  </w:r>
                </w:p>
              </w:tc>
              <w:tc>
                <w:tcPr>
                  <w:tcW w:w="705" w:type="dxa"/>
                  <w:tcBorders>
                    <w:left w:val="single" w:color="000000" w:sz="4" w:space="0"/>
                    <w:bottom w:val="single" w:color="000000" w:sz="4" w:space="0"/>
                    <w:right w:val="single" w:color="000000" w:sz="4" w:space="0"/>
                    <w:tl2br w:val="nil"/>
                    <w:tr2bl w:val="nil"/>
                  </w:tcBorders>
                  <w:vAlign w:val="center"/>
                </w:tcPr>
                <w:p>
                  <w:pPr>
                    <w:pStyle w:val="7"/>
                    <w:spacing w:line="260" w:lineRule="exact"/>
                    <w:jc w:val="center"/>
                    <w:rPr>
                      <w:bCs/>
                      <w:color w:val="auto"/>
                      <w:szCs w:val="21"/>
                      <w:highlight w:val="none"/>
                      <w:lang w:val="en-US" w:bidi="ar-SA"/>
                    </w:rPr>
                  </w:pPr>
                  <w:r>
                    <w:rPr>
                      <w:rFonts w:hint="eastAsia"/>
                      <w:color w:val="auto"/>
                      <w:szCs w:val="21"/>
                      <w:highlight w:val="none"/>
                      <w:lang w:val="en-US" w:bidi="ar-SA"/>
                    </w:rPr>
                    <w:t>自有设备</w:t>
                  </w:r>
                </w:p>
              </w:tc>
              <w:tc>
                <w:tcPr>
                  <w:tcW w:w="111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color w:val="auto"/>
                      <w:szCs w:val="21"/>
                      <w:highlight w:val="none"/>
                    </w:rPr>
                  </w:pPr>
                </w:p>
              </w:tc>
              <w:tc>
                <w:tcPr>
                  <w:tcW w:w="825" w:type="dxa"/>
                  <w:vMerge w:val="continue"/>
                  <w:tcBorders>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Cs w:val="21"/>
                      <w:highlight w:val="none"/>
                    </w:rPr>
                  </w:pPr>
                </w:p>
              </w:tc>
              <w:tc>
                <w:tcPr>
                  <w:tcW w:w="11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Cs w:val="21"/>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color w:val="auto"/>
                      <w:sz w:val="18"/>
                      <w:szCs w:val="18"/>
                      <w:highlight w:val="none"/>
                      <w:lang w:val="en-US"/>
                    </w:rPr>
                  </w:pPr>
                  <w:r>
                    <w:rPr>
                      <w:rFonts w:hint="eastAsia"/>
                      <w:color w:val="auto"/>
                      <w:sz w:val="18"/>
                      <w:szCs w:val="18"/>
                      <w:highlight w:val="none"/>
                      <w:lang w:val="en-US" w:eastAsia="zh-CN"/>
                    </w:rPr>
                    <w:t>1</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color w:val="auto"/>
                      <w:sz w:val="18"/>
                      <w:szCs w:val="18"/>
                      <w:highlight w:val="none"/>
                    </w:rPr>
                  </w:pPr>
                  <w:r>
                    <w:rPr>
                      <w:rFonts w:hint="eastAsia"/>
                      <w:color w:val="auto"/>
                      <w:sz w:val="18"/>
                      <w:szCs w:val="18"/>
                      <w:highlight w:val="none"/>
                      <w:lang w:val="en-US" w:eastAsia="zh-CN"/>
                    </w:rPr>
                    <w:t>挖掘机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2字头</w:t>
                  </w:r>
                </w:p>
              </w:tc>
              <w:tc>
                <w:tcPr>
                  <w:tcW w:w="728"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rPr>
                  </w:pP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highlight w:val="none"/>
                    </w:rPr>
                  </w:pPr>
                  <w:r>
                    <w:rPr>
                      <w:rFonts w:hint="eastAsia" w:ascii="宋体" w:hAnsi="宋体" w:cs="宋体"/>
                      <w:bCs/>
                      <w:color w:val="auto"/>
                      <w:sz w:val="18"/>
                      <w:szCs w:val="18"/>
                      <w:highlight w:val="none"/>
                      <w:lang w:val="en-US" w:eastAsia="zh-CN"/>
                    </w:rPr>
                    <w:t>台</w:t>
                  </w:r>
                </w:p>
              </w:tc>
              <w:tc>
                <w:tcPr>
                  <w:tcW w:w="8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highlight w:val="none"/>
                    </w:rPr>
                  </w:pPr>
                  <w:r>
                    <w:rPr>
                      <w:rFonts w:hint="eastAsia" w:ascii="宋体" w:hAnsi="宋体" w:cs="宋体"/>
                      <w:bCs/>
                      <w:color w:val="auto"/>
                      <w:sz w:val="18"/>
                      <w:szCs w:val="18"/>
                      <w:highlight w:val="none"/>
                      <w:lang w:val="en-US" w:eastAsia="zh-CN"/>
                    </w:rPr>
                    <w:t>1</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18"/>
                      <w:szCs w:val="18"/>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11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color w:val="auto"/>
                      <w:sz w:val="18"/>
                      <w:szCs w:val="18"/>
                      <w:highlight w:val="none"/>
                    </w:rPr>
                  </w:pPr>
                  <w:r>
                    <w:rPr>
                      <w:rFonts w:hint="eastAsia" w:ascii="宋体" w:hAnsi="宋体" w:cs="宋体"/>
                      <w:bCs/>
                      <w:color w:val="auto"/>
                      <w:sz w:val="18"/>
                      <w:szCs w:val="18"/>
                      <w:highlight w:val="none"/>
                      <w:lang w:val="en-US" w:eastAsia="zh-CN"/>
                    </w:rPr>
                    <w:t>压路机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26T</w:t>
                  </w:r>
                </w:p>
              </w:tc>
              <w:tc>
                <w:tcPr>
                  <w:tcW w:w="728"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rPr>
                  </w:pP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highlight w:val="none"/>
                    </w:rPr>
                  </w:pPr>
                  <w:r>
                    <w:rPr>
                      <w:rFonts w:hint="eastAsia" w:ascii="宋体" w:hAnsi="宋体" w:cs="宋体"/>
                      <w:bCs/>
                      <w:color w:val="auto"/>
                      <w:sz w:val="18"/>
                      <w:szCs w:val="18"/>
                      <w:highlight w:val="none"/>
                      <w:lang w:val="en-US" w:eastAsia="zh-CN"/>
                    </w:rPr>
                    <w:t>台</w:t>
                  </w:r>
                </w:p>
              </w:tc>
              <w:tc>
                <w:tcPr>
                  <w:tcW w:w="8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highlight w:val="none"/>
                    </w:rPr>
                  </w:pPr>
                  <w:r>
                    <w:rPr>
                      <w:rFonts w:hint="eastAsia" w:ascii="宋体" w:hAnsi="宋体" w:cs="宋体"/>
                      <w:bCs/>
                      <w:color w:val="auto"/>
                      <w:sz w:val="18"/>
                      <w:szCs w:val="18"/>
                      <w:highlight w:val="none"/>
                      <w:lang w:val="en-US" w:eastAsia="zh-CN"/>
                    </w:rPr>
                    <w:t>1</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18"/>
                      <w:szCs w:val="18"/>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11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3</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sz w:val="18"/>
                      <w:szCs w:val="18"/>
                      <w:highlight w:val="none"/>
                      <w:lang w:eastAsia="zh-CN"/>
                    </w:rPr>
                  </w:pPr>
                  <w:r>
                    <w:rPr>
                      <w:rFonts w:hint="eastAsia" w:ascii="宋体" w:hAnsi="宋体" w:cs="宋体"/>
                      <w:bCs/>
                      <w:color w:val="auto"/>
                      <w:sz w:val="18"/>
                      <w:szCs w:val="18"/>
                      <w:highlight w:val="none"/>
                      <w:lang w:val="en-US" w:eastAsia="zh-CN"/>
                    </w:rPr>
                    <w:t>装载机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color w:val="auto"/>
                      <w:sz w:val="18"/>
                      <w:szCs w:val="18"/>
                      <w:highlight w:val="none"/>
                      <w:lang w:val="en-US"/>
                    </w:rPr>
                  </w:pPr>
                  <w:r>
                    <w:rPr>
                      <w:rFonts w:hint="eastAsia" w:ascii="宋体" w:hAnsi="宋体" w:cs="宋体"/>
                      <w:bCs/>
                      <w:color w:val="auto"/>
                      <w:sz w:val="18"/>
                      <w:szCs w:val="18"/>
                      <w:highlight w:val="none"/>
                      <w:lang w:val="en-US" w:eastAsia="zh-CN"/>
                    </w:rPr>
                    <w:t>50型</w:t>
                  </w:r>
                </w:p>
              </w:tc>
              <w:tc>
                <w:tcPr>
                  <w:tcW w:w="728"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rPr>
                  </w:pP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highlight w:val="none"/>
                    </w:rPr>
                  </w:pPr>
                  <w:r>
                    <w:rPr>
                      <w:rFonts w:hint="eastAsia" w:ascii="宋体" w:hAnsi="宋体" w:cs="宋体"/>
                      <w:bCs/>
                      <w:color w:val="auto"/>
                      <w:sz w:val="18"/>
                      <w:szCs w:val="18"/>
                      <w:highlight w:val="none"/>
                      <w:lang w:val="en-US" w:eastAsia="zh-CN"/>
                    </w:rPr>
                    <w:t>台</w:t>
                  </w:r>
                </w:p>
              </w:tc>
              <w:tc>
                <w:tcPr>
                  <w:tcW w:w="86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highlight w:val="none"/>
                    </w:rPr>
                  </w:pPr>
                  <w:r>
                    <w:rPr>
                      <w:rFonts w:hint="eastAsia" w:ascii="宋体" w:hAnsi="宋体" w:cs="宋体"/>
                      <w:bCs/>
                      <w:color w:val="auto"/>
                      <w:sz w:val="18"/>
                      <w:szCs w:val="18"/>
                      <w:highlight w:val="none"/>
                      <w:lang w:val="en-US" w:eastAsia="zh-CN"/>
                    </w:rPr>
                    <w:t>1</w:t>
                  </w:r>
                </w:p>
              </w:tc>
              <w:tc>
                <w:tcPr>
                  <w:tcW w:w="705"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18"/>
                      <w:szCs w:val="18"/>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11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4</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自卸汽车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color w:val="auto"/>
                      <w:sz w:val="18"/>
                      <w:szCs w:val="18"/>
                      <w:highlight w:val="none"/>
                      <w:lang w:val="en-US"/>
                    </w:rPr>
                  </w:pPr>
                  <w:r>
                    <w:rPr>
                      <w:rFonts w:hint="eastAsia" w:ascii="宋体" w:hAnsi="宋体" w:cs="宋体"/>
                      <w:bCs/>
                      <w:color w:val="auto"/>
                      <w:sz w:val="18"/>
                      <w:szCs w:val="18"/>
                      <w:highlight w:val="none"/>
                      <w:lang w:val="en-US" w:eastAsia="zh-CN"/>
                    </w:rPr>
                    <w:t>12.5t</w:t>
                  </w:r>
                </w:p>
              </w:tc>
              <w:tc>
                <w:tcPr>
                  <w:tcW w:w="728"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rPr>
                  </w:pP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color w:val="auto"/>
                      <w:sz w:val="18"/>
                      <w:szCs w:val="18"/>
                      <w:highlight w:val="none"/>
                    </w:rPr>
                  </w:pPr>
                  <w:r>
                    <w:rPr>
                      <w:rFonts w:hint="eastAsia" w:ascii="宋体" w:hAnsi="宋体" w:cs="宋体"/>
                      <w:bCs/>
                      <w:color w:val="auto"/>
                      <w:sz w:val="18"/>
                      <w:szCs w:val="18"/>
                      <w:highlight w:val="none"/>
                      <w:lang w:val="en-US" w:eastAsia="zh-CN"/>
                    </w:rPr>
                    <w:t>辆</w:t>
                  </w:r>
                </w:p>
              </w:tc>
              <w:tc>
                <w:tcPr>
                  <w:tcW w:w="861"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18"/>
                      <w:szCs w:val="18"/>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11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highlight w:val="none"/>
                    </w:rPr>
                  </w:pPr>
                </w:p>
              </w:tc>
            </w:tr>
          </w:tbl>
          <w:p>
            <w:pPr>
              <w:keepNext w:val="0"/>
              <w:keepLines w:val="0"/>
              <w:widowControl/>
              <w:suppressLineNumbers w:val="0"/>
              <w:ind w:firstLine="0" w:firstLineChars="0"/>
              <w:jc w:val="center"/>
              <w:textAlignment w:val="auto"/>
              <w:rPr>
                <w:rFonts w:ascii="宋体" w:hAnsi="宋体" w:cs="宋体"/>
                <w:b/>
                <w:color w:val="auto"/>
                <w:sz w:val="28"/>
                <w:szCs w:val="28"/>
                <w:highlight w:val="none"/>
              </w:rPr>
            </w:pPr>
            <w:r>
              <w:rPr>
                <w:rFonts w:hint="eastAsia" w:ascii="仿宋" w:hAnsi="仿宋" w:eastAsia="仿宋" w:cs="仿宋"/>
                <w:b/>
                <w:i w:val="0"/>
                <w:color w:val="auto"/>
                <w:kern w:val="0"/>
                <w:sz w:val="28"/>
                <w:szCs w:val="28"/>
                <w:highlight w:val="none"/>
                <w:u w:val="none"/>
                <w:lang w:val="en-US" w:eastAsia="zh-CN" w:bidi="ar"/>
              </w:rPr>
              <w:t>(最低要求）</w:t>
            </w:r>
          </w:p>
        </w:tc>
      </w:tr>
    </w:tbl>
    <w:p>
      <w:pPr>
        <w:widowControl/>
        <w:jc w:val="left"/>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注：1、若监理工程师或</w:t>
      </w:r>
      <w:r>
        <w:rPr>
          <w:rFonts w:hint="eastAsia" w:ascii="宋体" w:hAnsi="宋体" w:cs="宋体"/>
          <w:color w:val="auto"/>
          <w:sz w:val="18"/>
          <w:szCs w:val="18"/>
          <w:highlight w:val="none"/>
          <w:lang w:val="en-US" w:eastAsia="zh-CN"/>
        </w:rPr>
        <w:t>招标</w:t>
      </w:r>
      <w:r>
        <w:rPr>
          <w:rFonts w:hint="eastAsia" w:ascii="宋体" w:hAnsi="宋体" w:cs="宋体"/>
          <w:color w:val="auto"/>
          <w:sz w:val="18"/>
          <w:szCs w:val="18"/>
          <w:highlight w:val="none"/>
        </w:rPr>
        <w:t>人认为投标人配备的机械设备不能满足现场施工的需要，或不能保证工程质量和进度时，</w:t>
      </w:r>
      <w:r>
        <w:rPr>
          <w:rFonts w:hint="eastAsia" w:ascii="宋体" w:hAnsi="宋体" w:cs="宋体"/>
          <w:color w:val="auto"/>
          <w:sz w:val="18"/>
          <w:szCs w:val="18"/>
          <w:highlight w:val="none"/>
          <w:lang w:val="en-US" w:eastAsia="zh-CN"/>
        </w:rPr>
        <w:t>招标</w:t>
      </w:r>
      <w:r>
        <w:rPr>
          <w:rFonts w:hint="eastAsia" w:ascii="宋体" w:hAnsi="宋体" w:cs="宋体"/>
          <w:color w:val="auto"/>
          <w:sz w:val="18"/>
          <w:szCs w:val="18"/>
          <w:highlight w:val="none"/>
        </w:rPr>
        <w:t>人有权要求投标人增加。</w:t>
      </w:r>
    </w:p>
    <w:p>
      <w:pPr>
        <w:widowControl/>
        <w:ind w:firstLine="360" w:firstLineChars="200"/>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本表中的总数量为承包人中标后向发包人承诺的投入最低设备要求，并以书面形式纳入合同附件。</w:t>
      </w:r>
    </w:p>
    <w:p>
      <w:pPr>
        <w:widowControl/>
        <w:ind w:firstLine="360" w:firstLineChars="200"/>
        <w:jc w:val="left"/>
        <w:textAlignment w:val="center"/>
        <w:rPr>
          <w:rFonts w:hint="default"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3、设备需具备施工能力满足实际施工需要，自有设备需提供购买发票，投标人需保证发票真实有效，并在投标文件中提供的发票网上查验结果截图（国家税务总局全国增值税发票查验平台</w:t>
      </w:r>
      <w:r>
        <w:rPr>
          <w:rFonts w:hint="eastAsia" w:ascii="宋体" w:hAnsi="宋体" w:eastAsia="宋体" w:cs="宋体"/>
          <w:b w:val="0"/>
          <w:bCs w:val="0"/>
          <w:color w:val="auto"/>
          <w:sz w:val="18"/>
          <w:szCs w:val="18"/>
          <w:highlight w:val="none"/>
          <w:lang w:val="en-US" w:eastAsia="zh-CN"/>
        </w:rPr>
        <w:t xml:space="preserve"> https://inv-veri.chinatax.gov.cn</w:t>
      </w:r>
      <w:r>
        <w:rPr>
          <w:rFonts w:hint="eastAsia" w:ascii="宋体" w:hAnsi="宋体" w:cs="宋体"/>
          <w:b w:val="0"/>
          <w:bCs w:val="0"/>
          <w:color w:val="auto"/>
          <w:sz w:val="18"/>
          <w:szCs w:val="18"/>
          <w:highlight w:val="none"/>
          <w:lang w:val="en-US" w:eastAsia="zh-CN"/>
        </w:rPr>
        <w:t>）。若为虚假发票，做废标处理。</w:t>
      </w:r>
    </w:p>
    <w:p>
      <w:pPr>
        <w:widowControl/>
        <w:jc w:val="center"/>
        <w:textAlignment w:val="center"/>
        <w:rPr>
          <w:rFonts w:ascii="宋体" w:hAnsi="宋体" w:cs="宋体"/>
          <w:color w:val="auto"/>
          <w:kern w:val="0"/>
          <w:sz w:val="24"/>
          <w:szCs w:val="24"/>
          <w:highlight w:val="none"/>
          <w:lang w:bidi="ar"/>
        </w:rPr>
        <w:sectPr>
          <w:pgSz w:w="11911" w:h="16838"/>
          <w:pgMar w:top="1599" w:right="1179" w:bottom="1298" w:left="1100" w:header="0" w:footer="567" w:gutter="0"/>
          <w:cols w:space="720" w:num="1"/>
          <w:docGrid w:linePitch="1"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hZDM1NDVhZjY2OTBlZjkzZWE0M2I4MzQxY2I4NGQifQ=="/>
  </w:docVars>
  <w:rsids>
    <w:rsidRoot w:val="57B655CE"/>
    <w:rsid w:val="57B6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customStyle="1" w:styleId="7">
    <w:name w:val="Table Paragraph"/>
    <w:basedOn w:val="1"/>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2022-10-10T09:16:00Z</dcterms:created>
  <dc:creator>WwxX</dc:creator>
  <cp:lastModifiedBy>WwxX</cp:lastModifiedBy>
  <dcterms:modified xsi:type="dcterms:W3CDTF">2022-10-10T09:17:00Z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644FAD730E5042BC87BD7F3B7BAEF18D</vt:lpwstr>
  </property>
</Properties>
</file>