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hint="eastAsia" w:ascii="宋体" w:hAnsi="宋体" w:cs="宋体"/>
          <w:b/>
          <w:color w:val="auto"/>
          <w:sz w:val="28"/>
          <w:szCs w:val="28"/>
          <w:highlight w:val="none"/>
        </w:rPr>
      </w:pPr>
      <w:bookmarkStart w:id="0" w:name="_Toc3161_WPSOffice_Level1"/>
      <w:bookmarkStart w:id="1" w:name="_Toc27409_WPSOffice_Level1"/>
      <w:r>
        <w:rPr>
          <w:rFonts w:hint="eastAsia" w:ascii="宋体" w:hAnsi="宋体" w:cs="宋体"/>
          <w:color w:val="auto"/>
          <w:kern w:val="0"/>
          <w:sz w:val="24"/>
          <w:szCs w:val="24"/>
          <w:highlight w:val="none"/>
        </w:rPr>
        <w:t xml:space="preserve">  </w:t>
      </w:r>
      <w:bookmarkStart w:id="12" w:name="_GoBack"/>
      <w:bookmarkEnd w:id="12"/>
      <w:r>
        <w:rPr>
          <w:rFonts w:hint="eastAsia" w:ascii="宋体" w:hAnsi="宋体" w:cs="宋体"/>
          <w:b/>
          <w:color w:val="auto"/>
          <w:sz w:val="28"/>
          <w:szCs w:val="28"/>
          <w:highlight w:val="none"/>
        </w:rPr>
        <w:t>附表一</w:t>
      </w:r>
    </w:p>
    <w:p>
      <w:pPr>
        <w:tabs>
          <w:tab w:val="left" w:pos="416"/>
        </w:tabs>
        <w:autoSpaceDE w:val="0"/>
        <w:autoSpaceDN w:val="0"/>
        <w:spacing w:before="122" w:line="360" w:lineRule="auto"/>
        <w:ind w:left="100"/>
        <w:jc w:val="center"/>
        <w:rPr>
          <w:rFonts w:hint="eastAsia" w:ascii="宋体" w:hAnsi="宋体" w:eastAsia="宋体" w:cs="宋体"/>
          <w:b/>
          <w:color w:val="auto"/>
          <w:sz w:val="28"/>
          <w:szCs w:val="28"/>
          <w:highlight w:val="yellow"/>
        </w:rPr>
      </w:pPr>
      <w:r>
        <w:rPr>
          <w:rFonts w:hint="eastAsia" w:ascii="仿宋" w:hAnsi="仿宋" w:eastAsia="仿宋" w:cs="仿宋"/>
          <w:b/>
          <w:bCs/>
          <w:color w:val="auto"/>
          <w:sz w:val="32"/>
          <w:szCs w:val="32"/>
          <w:highlight w:val="none"/>
          <w:lang w:val="en-US" w:eastAsia="zh-CN"/>
        </w:rPr>
        <w:t>内宜高速公路桥梁三类构件维修处治工程（岷江二桥）劳务合作（第二次）分段划分、工作内容、工期统计表</w:t>
      </w:r>
      <w:bookmarkStart w:id="2" w:name="_Toc20280_WPSOffice_Level1"/>
      <w:bookmarkStart w:id="3" w:name="_Toc22287"/>
    </w:p>
    <w:p>
      <w:pPr>
        <w:pStyle w:val="2"/>
        <w:jc w:val="left"/>
        <w:rPr>
          <w:rFonts w:hint="eastAsia" w:ascii="宋体" w:hAnsi="宋体" w:eastAsia="宋体" w:cs="宋体"/>
          <w:b/>
          <w:color w:val="auto"/>
          <w:sz w:val="28"/>
          <w:szCs w:val="28"/>
          <w:highlight w:val="yellow"/>
        </w:rPr>
      </w:pPr>
    </w:p>
    <w:tbl>
      <w:tblPr>
        <w:tblStyle w:val="25"/>
        <w:tblpPr w:leftFromText="180" w:rightFromText="180" w:vertAnchor="text" w:horzAnchor="page" w:tblpX="852" w:tblpY="145"/>
        <w:tblOverlap w:val="never"/>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1135"/>
        <w:gridCol w:w="1853"/>
        <w:gridCol w:w="621"/>
        <w:gridCol w:w="4293"/>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tblHeader/>
          <w:jc w:val="center"/>
        </w:trPr>
        <w:tc>
          <w:tcPr>
            <w:tcW w:w="550" w:type="dxa"/>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rPr>
            </w:pPr>
            <w:r>
              <w:rPr>
                <w:rFonts w:hint="eastAsia" w:ascii="宋体" w:hAnsi="宋体" w:cs="宋体"/>
                <w:color w:val="auto"/>
                <w:kern w:val="0"/>
                <w:sz w:val="18"/>
                <w:szCs w:val="18"/>
              </w:rPr>
              <w:t>序号</w:t>
            </w:r>
          </w:p>
        </w:tc>
        <w:tc>
          <w:tcPr>
            <w:tcW w:w="1135" w:type="dxa"/>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rPr>
            </w:pPr>
            <w:r>
              <w:rPr>
                <w:rFonts w:hint="eastAsia" w:ascii="宋体" w:hAnsi="宋体" w:cs="宋体"/>
                <w:color w:val="auto"/>
                <w:kern w:val="0"/>
                <w:sz w:val="18"/>
                <w:szCs w:val="18"/>
              </w:rPr>
              <w:t>特征</w:t>
            </w:r>
          </w:p>
        </w:tc>
        <w:tc>
          <w:tcPr>
            <w:tcW w:w="1853" w:type="dxa"/>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rPr>
            </w:pPr>
            <w:r>
              <w:rPr>
                <w:rFonts w:hint="eastAsia" w:ascii="宋体" w:hAnsi="宋体" w:cs="宋体"/>
                <w:color w:val="auto"/>
                <w:kern w:val="0"/>
                <w:sz w:val="18"/>
                <w:szCs w:val="18"/>
              </w:rPr>
              <w:t>里程段落</w:t>
            </w:r>
          </w:p>
        </w:tc>
        <w:tc>
          <w:tcPr>
            <w:tcW w:w="621" w:type="dxa"/>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长度（m）</w:t>
            </w:r>
          </w:p>
        </w:tc>
        <w:tc>
          <w:tcPr>
            <w:tcW w:w="4293" w:type="dxa"/>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rPr>
            </w:pPr>
            <w:r>
              <w:rPr>
                <w:rFonts w:hint="eastAsia" w:ascii="宋体" w:hAnsi="宋体" w:cs="宋体"/>
                <w:color w:val="auto"/>
                <w:kern w:val="0"/>
                <w:sz w:val="18"/>
                <w:szCs w:val="18"/>
              </w:rPr>
              <w:t>工作内容</w:t>
            </w:r>
          </w:p>
        </w:tc>
        <w:tc>
          <w:tcPr>
            <w:tcW w:w="903" w:type="dxa"/>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rPr>
            </w:pPr>
            <w:r>
              <w:rPr>
                <w:rFonts w:hint="eastAsia" w:ascii="宋体" w:hAnsi="宋体" w:cs="宋体"/>
                <w:color w:val="auto"/>
                <w:kern w:val="0"/>
                <w:sz w:val="18"/>
                <w:szCs w:val="18"/>
              </w:rPr>
              <w:t>工期（月）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9" w:hRule="atLeast"/>
          <w:jc w:val="center"/>
        </w:trPr>
        <w:tc>
          <w:tcPr>
            <w:tcW w:w="550" w:type="dxa"/>
            <w:tcMar>
              <w:top w:w="15" w:type="dxa"/>
              <w:left w:w="15" w:type="dxa"/>
              <w:right w:w="15" w:type="dxa"/>
            </w:tcMar>
            <w:vAlign w:val="center"/>
          </w:tcPr>
          <w:p>
            <w:pPr>
              <w:widowControl/>
              <w:jc w:val="center"/>
              <w:textAlignment w:val="center"/>
              <w:rPr>
                <w:rFonts w:ascii="宋体" w:hAnsi="宋体" w:cs="宋体"/>
                <w:color w:val="auto"/>
                <w:kern w:val="0"/>
                <w:sz w:val="18"/>
                <w:szCs w:val="18"/>
              </w:rPr>
            </w:pPr>
            <w:r>
              <w:rPr>
                <w:rFonts w:hint="eastAsia" w:ascii="宋体" w:hAnsi="宋体" w:cs="宋体"/>
                <w:color w:val="auto"/>
                <w:kern w:val="0"/>
                <w:sz w:val="18"/>
                <w:szCs w:val="18"/>
              </w:rPr>
              <w:t>1</w:t>
            </w:r>
          </w:p>
        </w:tc>
        <w:tc>
          <w:tcPr>
            <w:tcW w:w="1135" w:type="dxa"/>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桥梁工程</w:t>
            </w:r>
          </w:p>
        </w:tc>
        <w:tc>
          <w:tcPr>
            <w:tcW w:w="1853" w:type="dxa"/>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G85银昆高速K1497+600~K1499+600</w:t>
            </w:r>
          </w:p>
        </w:tc>
        <w:tc>
          <w:tcPr>
            <w:tcW w:w="621" w:type="dxa"/>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930.53</w:t>
            </w:r>
          </w:p>
        </w:tc>
        <w:tc>
          <w:tcPr>
            <w:tcW w:w="4293" w:type="dxa"/>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人工凿除钢筋混凝土结构、涂刷树脂封闭、压力注射修补胶、环氧砂浆修复、粘贴纤维布、T梁板顶升、伸缩缝处裂缝灌浆、止水带更换、锚固区裂缝修补、锚固区破损修补、更换排水管、钢筋除锈、混凝土表面打磨、CRB550级高强钢丝网、混凝土凿毛、HTRCS复合材料、氟碳漆表面防护、支座更换、建渣清理、楔形钢板安装</w:t>
            </w:r>
            <w:r>
              <w:rPr>
                <w:rFonts w:hint="eastAsia" w:ascii="宋体" w:hAnsi="宋体" w:cs="宋体"/>
                <w:color w:val="auto"/>
                <w:kern w:val="0"/>
                <w:sz w:val="18"/>
                <w:szCs w:val="18"/>
                <w:lang w:val="en-US" w:eastAsia="zh-CN"/>
              </w:rPr>
              <w:t>等</w:t>
            </w:r>
          </w:p>
        </w:tc>
        <w:tc>
          <w:tcPr>
            <w:tcW w:w="903" w:type="dxa"/>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val="en-US" w:eastAsia="zh-CN"/>
              </w:rPr>
              <w:t>5</w:t>
            </w:r>
          </w:p>
        </w:tc>
      </w:tr>
    </w:tbl>
    <w:p>
      <w:pPr>
        <w:rPr>
          <w:rFonts w:hint="eastAsia" w:ascii="宋体" w:hAnsi="宋体" w:eastAsia="宋体" w:cs="宋体"/>
          <w:b/>
          <w:color w:val="auto"/>
          <w:sz w:val="28"/>
          <w:szCs w:val="28"/>
          <w:highlight w:val="yellow"/>
        </w:rPr>
      </w:pPr>
    </w:p>
    <w:p>
      <w:pPr>
        <w:pStyle w:val="13"/>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lang w:val="en-US" w:eastAsia="zh-CN"/>
        </w:rPr>
        <w:t>内宜高速公路桥梁三类构件维修处治工程（岷江二桥）劳务合作（第二次）</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5"/>
        <w:tblW w:w="9919" w:type="dxa"/>
        <w:tblInd w:w="0" w:type="dxa"/>
        <w:tblLayout w:type="fixed"/>
        <w:tblCellMar>
          <w:top w:w="0" w:type="dxa"/>
          <w:left w:w="0" w:type="dxa"/>
          <w:bottom w:w="0" w:type="dxa"/>
          <w:right w:w="0" w:type="dxa"/>
        </w:tblCellMar>
      </w:tblPr>
      <w:tblGrid>
        <w:gridCol w:w="528"/>
        <w:gridCol w:w="615"/>
        <w:gridCol w:w="3690"/>
        <w:gridCol w:w="3974"/>
        <w:gridCol w:w="1112"/>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sz w:val="18"/>
                <w:szCs w:val="18"/>
                <w:highlight w:val="none"/>
                <w:shd w:val="clear" w:color="auto" w:fill="auto"/>
              </w:rPr>
            </w:pPr>
            <w:r>
              <w:rPr>
                <w:rFonts w:hint="eastAsia" w:ascii="宋体" w:hAnsi="宋体" w:cs="宋体"/>
                <w:color w:val="auto"/>
                <w:kern w:val="0"/>
                <w:sz w:val="18"/>
                <w:szCs w:val="18"/>
                <w:highlight w:val="none"/>
                <w:shd w:val="clear" w:color="auto" w:fill="auto"/>
                <w:lang w:bidi="ar"/>
              </w:rPr>
              <w:t>序号</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shd w:val="clear" w:color="auto" w:fill="auto"/>
                <w:lang w:val="en-US" w:eastAsia="zh-CN" w:bidi="ar-SA"/>
              </w:rPr>
            </w:pPr>
            <w:r>
              <w:rPr>
                <w:rFonts w:hint="eastAsia" w:ascii="宋体" w:hAnsi="宋体" w:eastAsia="宋体" w:cs="宋体"/>
                <w:color w:val="auto"/>
                <w:sz w:val="18"/>
                <w:szCs w:val="18"/>
                <w:highlight w:val="none"/>
                <w:shd w:val="clear" w:color="auto" w:fill="auto"/>
              </w:rPr>
              <w:t>特征</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7"/>
              <w:kinsoku w:val="0"/>
              <w:overflowPunct w:val="0"/>
              <w:spacing w:line="239" w:lineRule="exact"/>
              <w:ind w:left="426" w:right="344"/>
              <w:jc w:val="center"/>
              <w:rPr>
                <w:color w:val="auto"/>
                <w:sz w:val="18"/>
                <w:szCs w:val="18"/>
                <w:highlight w:val="none"/>
                <w:shd w:val="clear" w:color="auto" w:fill="auto"/>
              </w:rPr>
            </w:pPr>
            <w:r>
              <w:rPr>
                <w:rFonts w:hint="eastAsia"/>
                <w:color w:val="auto"/>
                <w:sz w:val="18"/>
                <w:szCs w:val="18"/>
                <w:highlight w:val="none"/>
                <w:shd w:val="clear" w:color="auto" w:fill="auto"/>
              </w:rPr>
              <w:t>施工企业资质等级要求</w:t>
            </w:r>
          </w:p>
        </w:tc>
        <w:tc>
          <w:tcPr>
            <w:tcW w:w="39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7"/>
              <w:widowControl/>
              <w:kinsoku w:val="0"/>
              <w:overflowPunct w:val="0"/>
              <w:spacing w:line="239" w:lineRule="exact"/>
              <w:ind w:left="426" w:right="344"/>
              <w:jc w:val="center"/>
              <w:textAlignment w:val="center"/>
              <w:rPr>
                <w:color w:val="auto"/>
                <w:sz w:val="18"/>
                <w:szCs w:val="18"/>
                <w:highlight w:val="none"/>
                <w:shd w:val="clear" w:color="auto" w:fill="auto"/>
              </w:rPr>
            </w:pPr>
            <w:r>
              <w:rPr>
                <w:rFonts w:hint="eastAsia"/>
                <w:color w:val="auto"/>
                <w:sz w:val="18"/>
                <w:szCs w:val="18"/>
                <w:highlight w:val="none"/>
                <w:shd w:val="clear" w:color="auto" w:fill="auto"/>
              </w:rPr>
              <w:t>业绩基本要求</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备注</w:t>
            </w:r>
          </w:p>
        </w:tc>
      </w:tr>
      <w:tr>
        <w:tblPrEx>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1</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桥梁</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shd w:val="clear" w:color="auto" w:fill="auto"/>
                <w:lang w:val="en-US" w:eastAsia="zh-CN" w:bidi="ar-SA"/>
              </w:rPr>
            </w:pPr>
            <w:r>
              <w:rPr>
                <w:rFonts w:hint="eastAsia" w:ascii="宋体" w:hAnsi="宋体" w:eastAsia="宋体" w:cs="宋体"/>
                <w:color w:val="auto"/>
                <w:kern w:val="2"/>
                <w:sz w:val="18"/>
                <w:szCs w:val="18"/>
                <w:highlight w:val="none"/>
                <w:shd w:val="clear" w:color="auto" w:fill="auto"/>
                <w:lang w:val="zh-CN" w:eastAsia="zh-CN" w:bidi="zh-CN"/>
              </w:rPr>
              <w:t>施工劳务资质或公路工程施工总承包三级及以上资质</w:t>
            </w:r>
          </w:p>
        </w:tc>
        <w:tc>
          <w:tcPr>
            <w:tcW w:w="39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shd w:val="clear" w:color="auto" w:fill="auto"/>
                <w:lang w:val="en-US" w:eastAsia="zh-CN" w:bidi="ar-SA"/>
              </w:rPr>
            </w:pPr>
            <w:r>
              <w:rPr>
                <w:rFonts w:hint="eastAsia" w:ascii="宋体" w:hAnsi="宋体" w:cs="宋体"/>
                <w:color w:val="auto"/>
                <w:sz w:val="18"/>
                <w:szCs w:val="18"/>
                <w:highlight w:val="none"/>
                <w:shd w:val="clear" w:color="auto" w:fill="auto"/>
                <w:lang w:val="en-US" w:eastAsia="zh-CN"/>
              </w:rPr>
              <w:t>5</w:t>
            </w:r>
            <w:r>
              <w:rPr>
                <w:rFonts w:hint="eastAsia" w:ascii="宋体" w:hAnsi="宋体" w:cs="宋体"/>
                <w:color w:val="auto"/>
                <w:sz w:val="18"/>
                <w:szCs w:val="18"/>
                <w:highlight w:val="none"/>
                <w:shd w:val="clear" w:color="auto" w:fill="auto"/>
              </w:rPr>
              <w:t>年内</w:t>
            </w:r>
            <w:r>
              <w:rPr>
                <w:rFonts w:hint="eastAsia" w:ascii="宋体" w:hAnsi="宋体" w:cs="宋体"/>
                <w:color w:val="auto"/>
                <w:kern w:val="0"/>
                <w:sz w:val="18"/>
                <w:szCs w:val="18"/>
                <w:highlight w:val="none"/>
                <w:shd w:val="clear" w:color="auto" w:fill="auto"/>
                <w:lang w:val="en-US" w:eastAsia="zh-CN" w:bidi="ar"/>
              </w:rPr>
              <w:t>（</w:t>
            </w:r>
            <w:r>
              <w:rPr>
                <w:rFonts w:hint="eastAsia" w:ascii="宋体" w:hAnsi="宋体" w:cs="宋体"/>
                <w:color w:val="auto"/>
                <w:kern w:val="0"/>
                <w:sz w:val="18"/>
                <w:szCs w:val="18"/>
                <w:highlight w:val="none"/>
                <w:shd w:val="clear" w:color="auto" w:fill="auto"/>
                <w:lang w:bidi="ar"/>
              </w:rPr>
              <w:t>201</w:t>
            </w:r>
            <w:r>
              <w:rPr>
                <w:rFonts w:hint="eastAsia" w:ascii="宋体" w:hAnsi="宋体" w:cs="宋体"/>
                <w:color w:val="auto"/>
                <w:kern w:val="0"/>
                <w:sz w:val="18"/>
                <w:szCs w:val="18"/>
                <w:highlight w:val="none"/>
                <w:shd w:val="clear" w:color="auto" w:fill="auto"/>
                <w:lang w:val="en-US" w:eastAsia="zh-CN" w:bidi="ar"/>
              </w:rPr>
              <w:t>8</w:t>
            </w:r>
            <w:r>
              <w:rPr>
                <w:rFonts w:hint="eastAsia" w:ascii="宋体" w:hAnsi="宋体" w:cs="宋体"/>
                <w:color w:val="auto"/>
                <w:kern w:val="0"/>
                <w:sz w:val="18"/>
                <w:szCs w:val="18"/>
                <w:highlight w:val="none"/>
                <w:shd w:val="clear" w:color="auto" w:fill="auto"/>
                <w:lang w:bidi="ar"/>
              </w:rPr>
              <w:t>年1月1日</w:t>
            </w:r>
            <w:r>
              <w:rPr>
                <w:rFonts w:hint="eastAsia" w:ascii="宋体" w:hAnsi="宋体" w:cs="宋体"/>
                <w:color w:val="auto"/>
                <w:kern w:val="0"/>
                <w:sz w:val="18"/>
                <w:szCs w:val="18"/>
                <w:highlight w:val="none"/>
                <w:shd w:val="clear" w:color="auto" w:fill="auto"/>
                <w:lang w:val="en-US" w:eastAsia="zh-CN" w:bidi="ar"/>
              </w:rPr>
              <w:t>起算</w:t>
            </w:r>
            <w:r>
              <w:rPr>
                <w:rFonts w:hint="eastAsia" w:ascii="宋体" w:hAnsi="宋体" w:cs="宋体"/>
                <w:color w:val="auto"/>
                <w:kern w:val="0"/>
                <w:sz w:val="18"/>
                <w:szCs w:val="18"/>
                <w:highlight w:val="none"/>
                <w:shd w:val="clear" w:color="auto" w:fill="auto"/>
                <w:lang w:eastAsia="zh-CN" w:bidi="ar"/>
              </w:rPr>
              <w:t>）具有</w:t>
            </w:r>
            <w:r>
              <w:rPr>
                <w:rFonts w:hint="eastAsia" w:ascii="宋体" w:hAnsi="宋体" w:cs="宋体"/>
                <w:color w:val="auto"/>
                <w:kern w:val="0"/>
                <w:sz w:val="18"/>
                <w:szCs w:val="18"/>
                <w:highlight w:val="none"/>
                <w:shd w:val="clear" w:color="auto" w:fill="auto"/>
                <w:lang w:val="en-US" w:eastAsia="zh-CN" w:bidi="ar"/>
              </w:rPr>
              <w:t>1个高速公路（新建、改扩建或养护）桥梁工程施工业绩。</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shd w:val="clear" w:color="auto" w:fill="auto"/>
                <w:lang w:eastAsia="zh-CN"/>
              </w:rPr>
            </w:pPr>
          </w:p>
        </w:tc>
      </w:tr>
    </w:tbl>
    <w:p>
      <w:pPr>
        <w:pStyle w:val="2"/>
        <w:ind w:firstLine="0"/>
        <w:jc w:val="left"/>
        <w:rPr>
          <w:rFonts w:hint="eastAsia" w:ascii="Times New Roman" w:hAnsi="Times New Roman" w:eastAsia="宋体" w:cs="Times New Roman"/>
          <w:b/>
          <w:bCs/>
          <w:color w:val="auto"/>
          <w:kern w:val="2"/>
          <w:sz w:val="20"/>
          <w:szCs w:val="20"/>
          <w:highlight w:val="none"/>
          <w:shd w:val="clear" w:color="auto" w:fill="auto"/>
          <w:lang w:val="en-US" w:eastAsia="zh-CN" w:bidi="ar-SA"/>
        </w:rPr>
      </w:pPr>
    </w:p>
    <w:p>
      <w:pPr>
        <w:pStyle w:val="2"/>
        <w:ind w:firstLine="0"/>
        <w:jc w:val="left"/>
        <w:rPr>
          <w:rFonts w:hint="default" w:ascii="Times New Roman" w:hAnsi="Times New Roman" w:eastAsia="宋体" w:cs="Times New Roman"/>
          <w:b/>
          <w:bCs/>
          <w:color w:val="auto"/>
          <w:kern w:val="2"/>
          <w:sz w:val="20"/>
          <w:szCs w:val="20"/>
          <w:highlight w:val="none"/>
          <w:shd w:val="clear" w:color="auto" w:fill="auto"/>
          <w:lang w:val="en-US" w:eastAsia="zh-CN" w:bidi="ar-SA"/>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r>
        <w:rPr>
          <w:rFonts w:hint="eastAsia" w:ascii="Times New Roman" w:hAnsi="Times New Roman" w:eastAsia="宋体" w:cs="Times New Roman"/>
          <w:b/>
          <w:bCs/>
          <w:color w:val="auto"/>
          <w:kern w:val="2"/>
          <w:sz w:val="20"/>
          <w:szCs w:val="20"/>
          <w:highlight w:val="none"/>
          <w:shd w:val="clear" w:color="auto" w:fill="auto"/>
          <w:lang w:val="en-US" w:eastAsia="zh-CN" w:bidi="ar-SA"/>
        </w:rPr>
        <w:t>注：若业绩为单价合同，需提供交工验收证书或最终结算资料作为合同金额的判定资料。</w:t>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5"/>
        <w:tblpPr w:leftFromText="180" w:rightFromText="180" w:vertAnchor="text" w:tblpX="1"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内宜高速公路桥梁三类构件维修处治工程（岷江二桥）劳务合作</w:t>
            </w:r>
          </w:p>
          <w:p>
            <w:pPr>
              <w:keepNext w:val="0"/>
              <w:keepLines w:val="0"/>
              <w:widowControl/>
              <w:suppressLineNumbers w:val="0"/>
              <w:ind w:firstLine="0" w:firstLineChars="0"/>
              <w:jc w:val="center"/>
              <w:textAlignment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（第二次）拟投入人员配置表(最低要求）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1</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color w:val="auto"/>
                <w:kern w:val="0"/>
                <w:sz w:val="21"/>
                <w:szCs w:val="21"/>
                <w:highlight w:val="none"/>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color w:val="auto"/>
                <w:kern w:val="0"/>
                <w:sz w:val="21"/>
                <w:szCs w:val="21"/>
                <w:highlight w:val="none"/>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eastAsia="宋体" w:cs="宋体"/>
                <w:i w:val="0"/>
                <w:color w:val="auto"/>
                <w:sz w:val="20"/>
                <w:szCs w:val="20"/>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2</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color w:val="auto"/>
                <w:kern w:val="0"/>
                <w:sz w:val="21"/>
                <w:szCs w:val="21"/>
                <w:highlight w:val="none"/>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color w:val="auto"/>
                <w:kern w:val="0"/>
                <w:sz w:val="21"/>
                <w:szCs w:val="21"/>
                <w:highlight w:val="none"/>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cs="宋体"/>
                <w:kern w:val="0"/>
                <w:sz w:val="21"/>
                <w:szCs w:val="21"/>
                <w:highlight w:val="none"/>
                <w:lang w:val="en-US" w:eastAsia="zh-CN"/>
              </w:rPr>
              <w:t>3</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21"/>
                <w:szCs w:val="21"/>
                <w:highlight w:val="none"/>
                <w:lang w:val="en-US" w:eastAsia="zh-CN"/>
              </w:rPr>
              <w:t>现场安全员</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sz w:val="20"/>
                <w:szCs w:val="20"/>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val="0"/>
                <w:i w:val="0"/>
                <w:color w:val="auto"/>
                <w:sz w:val="20"/>
                <w:szCs w:val="20"/>
                <w:highlight w:val="none"/>
                <w:u w:val="none"/>
              </w:rPr>
            </w:pPr>
            <w:r>
              <w:rPr>
                <w:rFonts w:hint="eastAsia" w:ascii="宋体" w:hAnsi="宋体" w:cs="宋体"/>
                <w:b w:val="0"/>
                <w:bCs w:val="0"/>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eastAsia="宋体" w:cs="宋体"/>
                <w:b w:val="0"/>
                <w:bCs w:val="0"/>
                <w:i w:val="0"/>
                <w:color w:val="auto"/>
                <w:sz w:val="20"/>
                <w:szCs w:val="20"/>
                <w:highlight w:val="none"/>
                <w:u w:val="none"/>
                <w:lang w:val="en-US" w:eastAsia="zh-CN"/>
              </w:rPr>
            </w:pPr>
            <w:r>
              <w:rPr>
                <w:rFonts w:hint="eastAsia" w:ascii="宋体" w:hAnsi="宋体" w:cs="宋体"/>
                <w:color w:val="auto"/>
                <w:kern w:val="0"/>
                <w:sz w:val="20"/>
                <w:szCs w:val="20"/>
              </w:rPr>
              <w:t>具有安全C证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eastAsia="宋体" w:cs="宋体"/>
                <w:i w:val="0"/>
                <w:color w:val="auto"/>
                <w:kern w:val="0"/>
                <w:sz w:val="20"/>
                <w:szCs w:val="20"/>
                <w:highlight w:val="none"/>
                <w:u w:val="none"/>
                <w:lang w:val="en-US" w:eastAsia="zh-CN" w:bidi="ar"/>
              </w:rPr>
            </w:pPr>
            <w:r>
              <w:rPr>
                <w:rFonts w:hint="eastAsia" w:ascii="宋体" w:hAnsi="宋体" w:cs="宋体"/>
                <w:kern w:val="0"/>
                <w:sz w:val="21"/>
                <w:szCs w:val="21"/>
                <w:highlight w:val="none"/>
                <w:lang w:val="en-US" w:eastAsia="zh-CN"/>
              </w:rPr>
              <w:t>4</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现场管理人员</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协助项目技术负责人负责现场进度、质量工作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cs="宋体"/>
                <w:kern w:val="0"/>
                <w:sz w:val="21"/>
                <w:szCs w:val="21"/>
                <w:highlight w:val="none"/>
                <w:lang w:val="en-US" w:eastAsia="zh-CN"/>
              </w:rPr>
              <w:t>5</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yellow"/>
        </w:rPr>
      </w:pPr>
      <w:r>
        <w:rPr>
          <w:rFonts w:hint="eastAsia" w:ascii="宋体" w:hAnsi="宋体" w:eastAsia="宋体" w:cs="宋体"/>
          <w:b/>
          <w:color w:val="auto"/>
          <w:sz w:val="28"/>
          <w:szCs w:val="28"/>
          <w:highlight w:val="yellow"/>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tbl>
      <w:tblPr>
        <w:tblStyle w:val="25"/>
        <w:tblW w:w="2004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noWrap w:val="0"/>
            <w:tcMar>
              <w:top w:w="15" w:type="dxa"/>
              <w:left w:w="15" w:type="dxa"/>
              <w:right w:w="15" w:type="dxa"/>
            </w:tcMar>
            <w:vAlign w:val="center"/>
          </w:tcPr>
          <w:tbl>
            <w:tblPr>
              <w:tblStyle w:val="25"/>
              <w:tblW w:w="1014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14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659" w:hRule="atLeast"/>
              </w:trPr>
              <w:tc>
                <w:tcPr>
                  <w:tcW w:w="10140" w:type="dxa"/>
                  <w:tcBorders>
                    <w:tl2br w:val="nil"/>
                    <w:tr2bl w:val="nil"/>
                  </w:tcBorders>
                  <w:tcMar>
                    <w:top w:w="15" w:type="dxa"/>
                    <w:left w:w="15" w:type="dxa"/>
                    <w:right w:w="15" w:type="dxa"/>
                  </w:tcMar>
                  <w:vAlign w:val="center"/>
                </w:tcPr>
                <w:p>
                  <w:pPr>
                    <w:widowControl/>
                    <w:jc w:val="center"/>
                    <w:textAlignment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内宜高速公路桥梁三类构件维修处治工程（岷江二桥）劳务合作</w:t>
                  </w:r>
                </w:p>
                <w:p>
                  <w:pPr>
                    <w:widowControl/>
                    <w:jc w:val="center"/>
                    <w:textAlignment w:val="center"/>
                    <w:rPr>
                      <w:rFonts w:ascii="宋体" w:hAnsi="宋体" w:cs="宋体"/>
                      <w:b/>
                      <w:color w:val="auto"/>
                      <w:sz w:val="28"/>
                      <w:szCs w:val="28"/>
                      <w:highlight w:val="none"/>
                    </w:rPr>
                  </w:pPr>
                  <w:r>
                    <w:rPr>
                      <w:rFonts w:hint="eastAsia" w:ascii="仿宋" w:hAnsi="仿宋" w:eastAsia="仿宋" w:cs="仿宋"/>
                      <w:b/>
                      <w:bCs/>
                      <w:color w:val="auto"/>
                      <w:sz w:val="32"/>
                      <w:szCs w:val="32"/>
                      <w:highlight w:val="none"/>
                      <w:lang w:val="en-US" w:eastAsia="zh-CN"/>
                    </w:rPr>
                    <w:t>（第二次）</w:t>
                  </w:r>
                  <w:r>
                    <w:rPr>
                      <w:rFonts w:hint="eastAsia" w:ascii="仿宋" w:hAnsi="仿宋" w:eastAsia="仿宋" w:cs="仿宋"/>
                      <w:b/>
                      <w:bCs/>
                      <w:color w:val="auto"/>
                      <w:sz w:val="28"/>
                      <w:szCs w:val="28"/>
                      <w:highlight w:val="none"/>
                    </w:rPr>
                    <w:t>拟</w:t>
                  </w:r>
                  <w:r>
                    <w:rPr>
                      <w:rFonts w:hint="eastAsia" w:ascii="仿宋" w:hAnsi="仿宋" w:eastAsia="仿宋" w:cs="仿宋"/>
                      <w:b/>
                      <w:color w:val="auto"/>
                      <w:kern w:val="0"/>
                      <w:sz w:val="28"/>
                      <w:szCs w:val="28"/>
                      <w:highlight w:val="none"/>
                    </w:rPr>
                    <w:t>投入设备明细表(最低要求）</w:t>
                  </w:r>
                </w:p>
              </w:tc>
            </w:tr>
          </w:tbl>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p>
        </w:tc>
        <w:tc>
          <w:tcPr>
            <w:tcW w:w="10020" w:type="dxa"/>
            <w:tcBorders>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906" w:hRule="atLeast"/>
        </w:trPr>
        <w:tc>
          <w:tcPr>
            <w:tcW w:w="10020" w:type="dxa"/>
            <w:tcBorders>
              <w:tl2br w:val="nil"/>
              <w:tr2bl w:val="nil"/>
            </w:tcBorders>
            <w:noWrap w:val="0"/>
            <w:tcMar>
              <w:top w:w="15" w:type="dxa"/>
              <w:left w:w="15" w:type="dxa"/>
              <w:right w:w="15" w:type="dxa"/>
            </w:tcMar>
            <w:vAlign w:val="center"/>
          </w:tcPr>
          <w:tbl>
            <w:tblPr>
              <w:tblStyle w:val="25"/>
              <w:tblpPr w:leftFromText="180" w:rightFromText="180" w:vertAnchor="text" w:horzAnchor="page" w:tblpXSpec="center" w:tblpY="-2073"/>
              <w:tblOverlap w:val="never"/>
              <w:tblW w:w="9995" w:type="dxa"/>
              <w:jc w:val="center"/>
              <w:tblLayout w:type="fixed"/>
              <w:tblCellMar>
                <w:top w:w="0" w:type="dxa"/>
                <w:left w:w="108" w:type="dxa"/>
                <w:bottom w:w="0" w:type="dxa"/>
                <w:right w:w="108" w:type="dxa"/>
              </w:tblCellMar>
            </w:tblPr>
            <w:tblGrid>
              <w:gridCol w:w="692"/>
              <w:gridCol w:w="1489"/>
              <w:gridCol w:w="1278"/>
              <w:gridCol w:w="661"/>
              <w:gridCol w:w="900"/>
              <w:gridCol w:w="958"/>
              <w:gridCol w:w="875"/>
              <w:gridCol w:w="724"/>
              <w:gridCol w:w="1087"/>
              <w:gridCol w:w="1331"/>
            </w:tblGrid>
            <w:tr>
              <w:tblPrEx>
                <w:tblCellMar>
                  <w:top w:w="0" w:type="dxa"/>
                  <w:left w:w="108" w:type="dxa"/>
                  <w:bottom w:w="0" w:type="dxa"/>
                  <w:right w:w="108" w:type="dxa"/>
                </w:tblCellMar>
              </w:tblPrEx>
              <w:trPr>
                <w:trHeight w:val="567" w:hRule="atLeast"/>
                <w:jc w:val="center"/>
              </w:trPr>
              <w:tc>
                <w:tcPr>
                  <w:tcW w:w="692" w:type="dxa"/>
                  <w:vMerge w:val="restart"/>
                  <w:tcBorders>
                    <w:top w:val="single" w:color="000000" w:sz="4" w:space="0"/>
                    <w:left w:val="single" w:color="000000" w:sz="4" w:space="0"/>
                    <w:right w:val="single" w:color="000000" w:sz="4" w:space="0"/>
                    <w:tl2br w:val="nil"/>
                    <w:tr2bl w:val="nil"/>
                  </w:tcBorders>
                  <w:vAlign w:val="center"/>
                </w:tcPr>
                <w:p>
                  <w:pPr>
                    <w:widowControl/>
                    <w:jc w:val="center"/>
                    <w:rPr>
                      <w:color w:val="auto"/>
                      <w:highlight w:val="none"/>
                    </w:rPr>
                  </w:pPr>
                  <w:r>
                    <w:rPr>
                      <w:rFonts w:hint="eastAsia"/>
                      <w:color w:val="auto"/>
                      <w:highlight w:val="none"/>
                    </w:rPr>
                    <w:t>序号</w:t>
                  </w:r>
                </w:p>
              </w:tc>
              <w:tc>
                <w:tcPr>
                  <w:tcW w:w="1489" w:type="dxa"/>
                  <w:vMerge w:val="restart"/>
                  <w:tcBorders>
                    <w:top w:val="single" w:color="000000" w:sz="4" w:space="0"/>
                    <w:left w:val="single" w:color="000000" w:sz="4" w:space="0"/>
                    <w:right w:val="single" w:color="000000" w:sz="4" w:space="0"/>
                    <w:tl2br w:val="nil"/>
                    <w:tr2bl w:val="nil"/>
                  </w:tcBorders>
                  <w:vAlign w:val="center"/>
                </w:tcPr>
                <w:p>
                  <w:pPr>
                    <w:widowControl/>
                    <w:jc w:val="center"/>
                    <w:rPr>
                      <w:color w:val="auto"/>
                      <w:highlight w:val="none"/>
                    </w:rPr>
                  </w:pPr>
                  <w:r>
                    <w:rPr>
                      <w:rFonts w:hint="eastAsia"/>
                      <w:color w:val="auto"/>
                      <w:highlight w:val="none"/>
                    </w:rPr>
                    <w:t>机械设备名称</w:t>
                  </w:r>
                </w:p>
              </w:tc>
              <w:tc>
                <w:tcPr>
                  <w:tcW w:w="1278" w:type="dxa"/>
                  <w:vMerge w:val="restart"/>
                  <w:tcBorders>
                    <w:top w:val="single" w:color="000000" w:sz="4" w:space="0"/>
                    <w:left w:val="single" w:color="000000" w:sz="4" w:space="0"/>
                    <w:right w:val="single" w:color="000000" w:sz="4" w:space="0"/>
                    <w:tl2br w:val="nil"/>
                    <w:tr2bl w:val="nil"/>
                  </w:tcBorders>
                  <w:vAlign w:val="center"/>
                </w:tcPr>
                <w:p>
                  <w:pPr>
                    <w:widowControl/>
                    <w:jc w:val="left"/>
                    <w:rPr>
                      <w:rFonts w:hint="eastAsia" w:eastAsia="宋体"/>
                      <w:color w:val="auto"/>
                      <w:highlight w:val="none"/>
                      <w:lang w:eastAsia="zh-CN"/>
                    </w:rPr>
                  </w:pPr>
                  <w:r>
                    <w:rPr>
                      <w:rFonts w:hint="eastAsia"/>
                      <w:color w:val="auto"/>
                      <w:highlight w:val="none"/>
                    </w:rPr>
                    <w:t>规格、型号</w:t>
                  </w:r>
                </w:p>
              </w:tc>
              <w:tc>
                <w:tcPr>
                  <w:tcW w:w="661" w:type="dxa"/>
                  <w:vMerge w:val="restart"/>
                  <w:tcBorders>
                    <w:top w:val="single" w:color="000000" w:sz="4" w:space="0"/>
                    <w:left w:val="single" w:color="000000" w:sz="4" w:space="0"/>
                    <w:right w:val="single" w:color="000000" w:sz="4" w:space="0"/>
                    <w:tl2br w:val="nil"/>
                    <w:tr2bl w:val="nil"/>
                  </w:tcBorders>
                  <w:vAlign w:val="center"/>
                </w:tcPr>
                <w:p>
                  <w:pPr>
                    <w:widowControl/>
                    <w:jc w:val="center"/>
                    <w:rPr>
                      <w:color w:val="auto"/>
                      <w:highlight w:val="none"/>
                    </w:rPr>
                  </w:pPr>
                  <w:r>
                    <w:rPr>
                      <w:rFonts w:hint="eastAsia"/>
                      <w:color w:val="auto"/>
                      <w:highlight w:val="none"/>
                    </w:rPr>
                    <w:t>单位</w:t>
                  </w:r>
                </w:p>
              </w:tc>
              <w:tc>
                <w:tcPr>
                  <w:tcW w:w="185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color w:val="auto"/>
                      <w:highlight w:val="none"/>
                    </w:rPr>
                  </w:pPr>
                  <w:r>
                    <w:rPr>
                      <w:rFonts w:hint="eastAsia"/>
                      <w:color w:val="auto"/>
                      <w:highlight w:val="none"/>
                    </w:rPr>
                    <w:t>基本要求数量</w:t>
                  </w:r>
                </w:p>
              </w:tc>
              <w:tc>
                <w:tcPr>
                  <w:tcW w:w="875" w:type="dxa"/>
                  <w:vMerge w:val="restart"/>
                  <w:tcBorders>
                    <w:top w:val="single" w:color="000000" w:sz="4" w:space="0"/>
                    <w:left w:val="single" w:color="000000" w:sz="4" w:space="0"/>
                    <w:right w:val="single" w:color="000000" w:sz="4" w:space="0"/>
                    <w:tl2br w:val="nil"/>
                    <w:tr2bl w:val="nil"/>
                  </w:tcBorders>
                  <w:vAlign w:val="center"/>
                </w:tcPr>
                <w:p>
                  <w:pPr>
                    <w:jc w:val="center"/>
                    <w:rPr>
                      <w:color w:val="auto"/>
                      <w:highlight w:val="none"/>
                    </w:rPr>
                  </w:pPr>
                  <w:r>
                    <w:rPr>
                      <w:rFonts w:hint="eastAsia"/>
                      <w:color w:val="auto"/>
                      <w:highlight w:val="none"/>
                    </w:rPr>
                    <w:t>每增加一台自有设备加分值</w:t>
                  </w:r>
                </w:p>
              </w:tc>
              <w:tc>
                <w:tcPr>
                  <w:tcW w:w="724" w:type="dxa"/>
                  <w:vMerge w:val="restart"/>
                  <w:tcBorders>
                    <w:top w:val="single" w:color="000000" w:sz="4" w:space="0"/>
                    <w:left w:val="single" w:color="000000" w:sz="4" w:space="0"/>
                    <w:right w:val="single" w:color="000000" w:sz="4" w:space="0"/>
                    <w:tl2br w:val="nil"/>
                    <w:tr2bl w:val="nil"/>
                  </w:tcBorders>
                  <w:vAlign w:val="center"/>
                </w:tcPr>
                <w:p>
                  <w:pPr>
                    <w:jc w:val="center"/>
                    <w:rPr>
                      <w:color w:val="auto"/>
                      <w:highlight w:val="none"/>
                    </w:rPr>
                  </w:pPr>
                  <w:r>
                    <w:rPr>
                      <w:rFonts w:hint="eastAsia"/>
                      <w:color w:val="auto"/>
                      <w:highlight w:val="none"/>
                    </w:rPr>
                    <w:t>加分上限</w:t>
                  </w:r>
                </w:p>
              </w:tc>
              <w:tc>
                <w:tcPr>
                  <w:tcW w:w="1087" w:type="dxa"/>
                  <w:vMerge w:val="restart"/>
                  <w:tcBorders>
                    <w:top w:val="single" w:color="000000" w:sz="4" w:space="0"/>
                    <w:left w:val="single" w:color="000000" w:sz="4" w:space="0"/>
                    <w:right w:val="single" w:color="000000" w:sz="4" w:space="0"/>
                    <w:tl2br w:val="nil"/>
                    <w:tr2bl w:val="nil"/>
                  </w:tcBorders>
                  <w:vAlign w:val="center"/>
                </w:tcPr>
                <w:p>
                  <w:pPr>
                    <w:widowControl/>
                    <w:jc w:val="center"/>
                    <w:rPr>
                      <w:color w:val="auto"/>
                      <w:highlight w:val="none"/>
                    </w:rPr>
                  </w:pPr>
                  <w:r>
                    <w:rPr>
                      <w:rFonts w:hint="eastAsia"/>
                      <w:color w:val="auto"/>
                      <w:highlight w:val="none"/>
                    </w:rPr>
                    <w:t>出厂日期</w:t>
                  </w:r>
                </w:p>
              </w:tc>
              <w:tc>
                <w:tcPr>
                  <w:tcW w:w="1331" w:type="dxa"/>
                  <w:vMerge w:val="restart"/>
                  <w:tcBorders>
                    <w:top w:val="single" w:color="000000" w:sz="4" w:space="0"/>
                    <w:left w:val="single" w:color="000000" w:sz="4" w:space="0"/>
                    <w:right w:val="single" w:color="000000" w:sz="4" w:space="0"/>
                    <w:tl2br w:val="nil"/>
                    <w:tr2bl w:val="nil"/>
                  </w:tcBorders>
                  <w:vAlign w:val="center"/>
                </w:tcPr>
                <w:p>
                  <w:pPr>
                    <w:widowControl/>
                    <w:jc w:val="center"/>
                    <w:rPr>
                      <w:color w:val="auto"/>
                      <w:highlight w:val="none"/>
                    </w:rPr>
                  </w:pPr>
                  <w:r>
                    <w:rPr>
                      <w:rFonts w:hint="eastAsia"/>
                      <w:color w:val="auto"/>
                      <w:highlight w:val="none"/>
                    </w:rPr>
                    <w:t>备注</w:t>
                  </w:r>
                </w:p>
              </w:tc>
            </w:tr>
            <w:tr>
              <w:tblPrEx>
                <w:tblCellMar>
                  <w:top w:w="0" w:type="dxa"/>
                  <w:left w:w="108" w:type="dxa"/>
                  <w:bottom w:w="0" w:type="dxa"/>
                  <w:right w:w="108" w:type="dxa"/>
                </w:tblCellMar>
              </w:tblPrEx>
              <w:trPr>
                <w:trHeight w:val="567" w:hRule="atLeast"/>
                <w:jc w:val="center"/>
              </w:trPr>
              <w:tc>
                <w:tcPr>
                  <w:tcW w:w="692"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1489"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1278"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661"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255"/>
                      <w:numId w:val="0"/>
                    </w:numPr>
                    <w:jc w:val="center"/>
                    <w:rPr>
                      <w:color w:val="auto"/>
                      <w:highlight w:val="none"/>
                    </w:rPr>
                  </w:pPr>
                  <w:r>
                    <w:rPr>
                      <w:rFonts w:hint="eastAsia"/>
                      <w:color w:val="auto"/>
                      <w:highlight w:val="none"/>
                    </w:rPr>
                    <w:t>总数量</w:t>
                  </w:r>
                </w:p>
              </w:tc>
              <w:tc>
                <w:tcPr>
                  <w:tcW w:w="958" w:type="dxa"/>
                  <w:tcBorders>
                    <w:left w:val="single" w:color="000000" w:sz="4" w:space="0"/>
                    <w:bottom w:val="single" w:color="auto" w:sz="4" w:space="0"/>
                    <w:right w:val="single" w:color="000000" w:sz="4" w:space="0"/>
                    <w:tl2br w:val="nil"/>
                    <w:tr2bl w:val="nil"/>
                  </w:tcBorders>
                  <w:vAlign w:val="center"/>
                </w:tcPr>
                <w:p>
                  <w:pPr>
                    <w:widowControl/>
                    <w:tabs>
                      <w:tab w:val="left" w:pos="567"/>
                    </w:tabs>
                    <w:jc w:val="left"/>
                    <w:rPr>
                      <w:color w:val="auto"/>
                      <w:highlight w:val="none"/>
                    </w:rPr>
                  </w:pPr>
                  <w:r>
                    <w:rPr>
                      <w:rFonts w:hint="eastAsia"/>
                      <w:color w:val="auto"/>
                      <w:highlight w:val="none"/>
                    </w:rPr>
                    <w:t>自有设备数量</w:t>
                  </w:r>
                </w:p>
              </w:tc>
              <w:tc>
                <w:tcPr>
                  <w:tcW w:w="875"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724"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1087"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1331"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r>
            <w:tr>
              <w:tblPrEx>
                <w:tblCellMar>
                  <w:top w:w="0" w:type="dxa"/>
                  <w:left w:w="108" w:type="dxa"/>
                  <w:bottom w:w="0" w:type="dxa"/>
                  <w:right w:w="108" w:type="dxa"/>
                </w:tblCellMar>
              </w:tblPrEx>
              <w:trPr>
                <w:trHeight w:val="484"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桥检车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958" w:type="dxa"/>
                  <w:tcBorders>
                    <w:top w:val="single" w:color="auto" w:sz="4" w:space="0"/>
                    <w:left w:val="single" w:color="auto" w:sz="4" w:space="0"/>
                    <w:bottom w:val="single" w:color="auto" w:sz="4" w:space="0"/>
                    <w:right w:val="single" w:color="auto" w:sz="4" w:space="0"/>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0.5</w:t>
                  </w:r>
                </w:p>
              </w:tc>
              <w:tc>
                <w:tcPr>
                  <w:tcW w:w="724"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0.5</w:t>
                  </w:r>
                </w:p>
              </w:tc>
              <w:tc>
                <w:tcPr>
                  <w:tcW w:w="108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60" w:lineRule="exact"/>
                    <w:ind w:right="5"/>
                    <w:jc w:val="center"/>
                    <w:textAlignment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2018年1月后</w:t>
                  </w:r>
                </w:p>
              </w:tc>
              <w:tc>
                <w:tcPr>
                  <w:tcW w:w="133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60" w:lineRule="exact"/>
                    <w:ind w:right="5"/>
                    <w:jc w:val="center"/>
                    <w:textAlignment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自有设备需提供购买发票</w:t>
                  </w:r>
                </w:p>
              </w:tc>
            </w:tr>
            <w:tr>
              <w:tblPrEx>
                <w:tblCellMar>
                  <w:top w:w="0" w:type="dxa"/>
                  <w:left w:w="108" w:type="dxa"/>
                  <w:bottom w:w="0" w:type="dxa"/>
                  <w:right w:w="108" w:type="dxa"/>
                </w:tblCellMar>
              </w:tblPrEx>
              <w:trPr>
                <w:trHeight w:val="429"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吊车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25t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lang w:val="en-US" w:eastAsia="zh-CN"/>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0.5</w:t>
                  </w: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0.5</w:t>
                  </w: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64"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注浆机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lang w:val="en-US" w:eastAsia="zh-CN"/>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77"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砂浆拌合机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92"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30KW发电机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cs="宋体"/>
                      <w:i w:val="0"/>
                      <w:iCs w:val="0"/>
                      <w:color w:val="auto"/>
                      <w:kern w:val="0"/>
                      <w:sz w:val="21"/>
                      <w:szCs w:val="21"/>
                      <w:highlight w:val="none"/>
                      <w:u w:val="none"/>
                      <w:lang w:val="en-US" w:eastAsia="zh-CN" w:bidi="ar"/>
                    </w:rPr>
                    <w:t>30KW</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55"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千斤顶</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tabs>
                      <w:tab w:val="left" w:pos="458"/>
                    </w:tabs>
                    <w:spacing w:line="260" w:lineRule="exact"/>
                    <w:ind w:right="5" w:firstLine="420" w:firstLineChars="200"/>
                    <w:jc w:val="left"/>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个</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50</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11"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水准仪</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44"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5t内双排载货汽车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lang w:val="en-US" w:eastAsia="zh-CN"/>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4</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394"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交通车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3</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369"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钢筋弯曲机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GW-40A</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56"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电焊机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350型</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5</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60"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keepLines w:val="0"/>
                    <w:pageBreakBefore w:val="0"/>
                    <w:widowControl w:val="0"/>
                    <w:shd w:val="solid" w:color="FFFFFF" w:fill="auto"/>
                    <w:kinsoku/>
                    <w:wordWrap/>
                    <w:overflowPunct/>
                    <w:topLinePunct w:val="0"/>
                    <w:autoSpaceDE/>
                    <w:autoSpaceDN w:val="0"/>
                    <w:bidi w:val="0"/>
                    <w:spacing w:beforeAutospacing="0" w:afterAutospacing="0" w:line="360" w:lineRule="auto"/>
                    <w:ind w:left="0" w:leftChars="0" w:right="0" w:rightChars="0" w:firstLine="0" w:firstLineChars="0"/>
                    <w:jc w:val="center"/>
                    <w:textAlignment w:val="auto"/>
                    <w:rPr>
                      <w:rFonts w:hint="default" w:asciiTheme="minorEastAsia" w:hAnsiTheme="minorEastAsia" w:eastAsiaTheme="minorEastAsia" w:cstheme="minorEastAsia"/>
                      <w:color w:val="auto"/>
                      <w:kern w:val="2"/>
                      <w:sz w:val="21"/>
                      <w:szCs w:val="21"/>
                      <w:highlight w:val="none"/>
                      <w:shd w:val="clear" w:color="auto" w:fill="FFFFFF"/>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FFFFFF"/>
                      <w:lang w:val="en-US" w:eastAsia="zh-CN" w:bidi="ar-SA"/>
                    </w:rPr>
                    <w:t>12</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空压机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2</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513"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keepLines w:val="0"/>
                    <w:pageBreakBefore w:val="0"/>
                    <w:widowControl w:val="0"/>
                    <w:shd w:val="solid" w:color="FFFFFF" w:fill="auto"/>
                    <w:kinsoku/>
                    <w:wordWrap/>
                    <w:overflowPunct/>
                    <w:topLinePunct w:val="0"/>
                    <w:autoSpaceDE/>
                    <w:autoSpaceDN w:val="0"/>
                    <w:bidi w:val="0"/>
                    <w:spacing w:beforeAutospacing="0" w:afterAutospacing="0" w:line="360" w:lineRule="auto"/>
                    <w:ind w:left="0" w:leftChars="0" w:right="0" w:rightChars="0"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13</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液压泵站</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ZB4-500</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2</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556"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keepLines w:val="0"/>
                    <w:pageBreakBefore w:val="0"/>
                    <w:widowControl w:val="0"/>
                    <w:shd w:val="solid" w:color="FFFFFF" w:fill="auto"/>
                    <w:kinsoku/>
                    <w:wordWrap/>
                    <w:overflowPunct/>
                    <w:topLinePunct w:val="0"/>
                    <w:autoSpaceDE/>
                    <w:autoSpaceDN w:val="0"/>
                    <w:bidi w:val="0"/>
                    <w:spacing w:beforeAutospacing="0" w:afterAutospacing="0"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90"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keepLines w:val="0"/>
                    <w:pageBreakBefore w:val="0"/>
                    <w:widowControl w:val="0"/>
                    <w:shd w:val="solid" w:color="FFFFFF" w:fill="auto"/>
                    <w:kinsoku/>
                    <w:wordWrap/>
                    <w:overflowPunct/>
                    <w:topLinePunct w:val="0"/>
                    <w:autoSpaceDE/>
                    <w:autoSpaceDN w:val="0"/>
                    <w:bidi w:val="0"/>
                    <w:spacing w:beforeAutospacing="0" w:afterAutospacing="0"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56"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keepLines w:val="0"/>
                    <w:pageBreakBefore w:val="0"/>
                    <w:widowControl w:val="0"/>
                    <w:shd w:val="solid" w:color="FFFFFF" w:fill="auto"/>
                    <w:kinsoku/>
                    <w:wordWrap/>
                    <w:overflowPunct/>
                    <w:topLinePunct w:val="0"/>
                    <w:autoSpaceDE/>
                    <w:autoSpaceDN w:val="0"/>
                    <w:bidi w:val="0"/>
                    <w:spacing w:beforeAutospacing="0" w:afterAutospacing="0"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77"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keepLines w:val="0"/>
                    <w:pageBreakBefore w:val="0"/>
                    <w:widowControl w:val="0"/>
                    <w:shd w:val="solid" w:color="FFFFFF" w:fill="auto"/>
                    <w:kinsoku/>
                    <w:wordWrap/>
                    <w:overflowPunct/>
                    <w:topLinePunct w:val="0"/>
                    <w:autoSpaceDE/>
                    <w:autoSpaceDN w:val="0"/>
                    <w:bidi w:val="0"/>
                    <w:spacing w:beforeAutospacing="0" w:afterAutospacing="0"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bl>
          <w:p>
            <w:pPr>
              <w:widowControl/>
              <w:ind w:firstLine="540" w:firstLineChars="300"/>
              <w:jc w:val="left"/>
              <w:rPr>
                <w:rFonts w:asciiTheme="minorEastAsia" w:hAnsiTheme="minorEastAsia" w:eastAsiaTheme="minorEastAsia" w:cstheme="minorEastAsia"/>
                <w:color w:val="auto"/>
                <w:sz w:val="18"/>
                <w:szCs w:val="20"/>
                <w:highlight w:val="none"/>
              </w:rPr>
            </w:pPr>
            <w:r>
              <w:rPr>
                <w:rFonts w:hint="eastAsia" w:asciiTheme="minorEastAsia" w:hAnsiTheme="minorEastAsia" w:eastAsiaTheme="minorEastAsia" w:cstheme="minorEastAsia"/>
                <w:color w:val="auto"/>
                <w:sz w:val="18"/>
                <w:szCs w:val="20"/>
                <w:highlight w:val="none"/>
              </w:rPr>
              <w:t>注：1、若监理工程师或招标人认为投标人配备的机械设备不能满足现场施工的需要，或不能保证工程质量和进度时，招标人有权要求投标人增加。</w:t>
            </w:r>
          </w:p>
          <w:p>
            <w:pPr>
              <w:widowControl/>
              <w:ind w:firstLine="540" w:firstLineChars="300"/>
              <w:jc w:val="left"/>
              <w:rPr>
                <w:rFonts w:asciiTheme="minorEastAsia" w:hAnsiTheme="minorEastAsia" w:eastAsiaTheme="minorEastAsia" w:cstheme="minorEastAsia"/>
                <w:color w:val="auto"/>
                <w:sz w:val="18"/>
                <w:szCs w:val="20"/>
                <w:highlight w:val="none"/>
              </w:rPr>
            </w:pPr>
            <w:r>
              <w:rPr>
                <w:rFonts w:hint="eastAsia" w:asciiTheme="minorEastAsia" w:hAnsiTheme="minorEastAsia" w:eastAsiaTheme="minorEastAsia" w:cstheme="minorEastAsia"/>
                <w:color w:val="auto"/>
                <w:sz w:val="18"/>
                <w:szCs w:val="20"/>
                <w:highlight w:val="none"/>
              </w:rPr>
              <w:t>2、本表中的总量为承包人中标后向发包人承诺的投入最低设备要求，并以书面形式纳入合同附件。</w:t>
            </w:r>
          </w:p>
          <w:p>
            <w:pPr>
              <w:pStyle w:val="2"/>
              <w:ind w:left="0" w:leftChars="0" w:firstLine="542" w:firstLineChars="300"/>
              <w:rPr>
                <w:rFonts w:hint="eastAsia"/>
                <w:color w:val="auto"/>
                <w:highlight w:val="none"/>
                <w:lang w:val="en-US" w:eastAsia="zh-CN"/>
              </w:rPr>
            </w:pPr>
            <w:r>
              <w:rPr>
                <w:rFonts w:hint="eastAsia" w:asciiTheme="minorEastAsia" w:hAnsiTheme="minorEastAsia" w:eastAsiaTheme="minorEastAsia" w:cstheme="minorEastAsia"/>
                <w:b/>
                <w:bCs/>
                <w:color w:val="auto"/>
                <w:sz w:val="18"/>
                <w:szCs w:val="20"/>
                <w:highlight w:val="none"/>
              </w:rPr>
              <w:t>3、自有设备需提供购买发票,投标人需保证发票真实有效，若投标人提供的发票网上查验为虚假发票，作废标处理。</w:t>
            </w:r>
          </w:p>
        </w:tc>
        <w:tc>
          <w:tcPr>
            <w:tcW w:w="10020" w:type="dxa"/>
            <w:tcBorders>
              <w:tl2br w:val="nil"/>
              <w:tr2bl w:val="nil"/>
            </w:tcBorders>
            <w:noWrap w:val="0"/>
            <w:tcMar>
              <w:top w:w="15" w:type="dxa"/>
              <w:left w:w="15" w:type="dxa"/>
              <w:right w:w="15" w:type="dxa"/>
            </w:tcMar>
            <w:vAlign w:val="center"/>
          </w:tcPr>
          <w:p>
            <w:pPr>
              <w:pStyle w:val="2"/>
              <w:rPr>
                <w:rFonts w:hint="eastAsia"/>
                <w:highlight w:val="none"/>
                <w:lang w:val="en-US" w:eastAsia="zh-CN"/>
              </w:rPr>
            </w:pPr>
          </w:p>
        </w:tc>
      </w:tr>
    </w:tbl>
    <w:p>
      <w:pPr>
        <w:pStyle w:val="2"/>
        <w:ind w:firstLine="0"/>
        <w:jc w:val="left"/>
        <w:rPr>
          <w:rFonts w:ascii="等线" w:hAnsi="等线" w:eastAsia="等线" w:cs="等线"/>
          <w:b/>
          <w:bCs/>
          <w:color w:val="auto"/>
          <w:sz w:val="48"/>
          <w:szCs w:val="48"/>
          <w:highlight w:val="yellow"/>
          <w:lang w:bidi="zh-CN"/>
        </w:rPr>
      </w:pPr>
      <w:r>
        <w:rPr>
          <w:rFonts w:hint="eastAsia" w:ascii="仿宋" w:hAnsi="仿宋" w:eastAsia="仿宋" w:cs="仿宋"/>
          <w:b/>
          <w:bCs/>
          <w:color w:val="auto"/>
          <w:sz w:val="32"/>
          <w:szCs w:val="32"/>
          <w:highlight w:val="none"/>
        </w:rPr>
        <w:br w:type="page"/>
      </w:r>
    </w:p>
    <w:p>
      <w:pPr>
        <w:pStyle w:val="32"/>
        <w:tabs>
          <w:tab w:val="right" w:leader="dot" w:pos="8306"/>
        </w:tabs>
        <w:jc w:val="center"/>
        <w:rPr>
          <w:rFonts w:ascii="等线" w:hAnsi="等线" w:eastAsia="等线" w:cs="等线"/>
          <w:b/>
          <w:bCs/>
          <w:color w:val="auto"/>
          <w:sz w:val="48"/>
          <w:szCs w:val="48"/>
          <w:highlight w:val="none"/>
          <w:lang w:bidi="zh-CN"/>
        </w:rPr>
      </w:pPr>
      <w:r>
        <w:rPr>
          <w:rFonts w:hint="eastAsia" w:ascii="等线" w:hAnsi="等线" w:eastAsia="等线" w:cs="等线"/>
          <w:b/>
          <w:bCs/>
          <w:color w:val="auto"/>
          <w:sz w:val="48"/>
          <w:szCs w:val="48"/>
          <w:highlight w:val="none"/>
          <w:lang w:bidi="zh-CN"/>
        </w:rPr>
        <w:t>第二章   投标人须知</w:t>
      </w:r>
      <w:bookmarkEnd w:id="2"/>
      <w:bookmarkEnd w:id="3"/>
    </w:p>
    <w:p>
      <w:pPr>
        <w:pStyle w:val="13"/>
        <w:rPr>
          <w:rFonts w:ascii="等线"/>
          <w:b/>
          <w:color w:val="auto"/>
          <w:sz w:val="48"/>
          <w:highlight w:val="none"/>
        </w:rPr>
      </w:pPr>
    </w:p>
    <w:p>
      <w:pPr>
        <w:pStyle w:val="10"/>
        <w:spacing w:before="388" w:line="364" w:lineRule="auto"/>
        <w:ind w:right="3884"/>
        <w:jc w:val="left"/>
        <w:rPr>
          <w:color w:val="auto"/>
          <w:highlight w:val="none"/>
        </w:rPr>
      </w:pPr>
      <w:r>
        <w:rPr>
          <w:color w:val="auto"/>
          <w:highlight w:val="none"/>
        </w:rPr>
        <w:t>一、投标人须知前附表</w:t>
      </w:r>
    </w:p>
    <w:p>
      <w:pPr>
        <w:pStyle w:val="10"/>
        <w:spacing w:before="388" w:line="364" w:lineRule="auto"/>
        <w:ind w:right="3884"/>
        <w:jc w:val="left"/>
        <w:rPr>
          <w:color w:val="auto"/>
          <w:highlight w:val="none"/>
        </w:rPr>
      </w:pPr>
      <w:r>
        <w:rPr>
          <w:color w:val="auto"/>
          <w:highlight w:val="none"/>
        </w:rPr>
        <w:t>二、投标人须知</w:t>
      </w:r>
    </w:p>
    <w:p>
      <w:pPr>
        <w:pStyle w:val="2"/>
        <w:rPr>
          <w:rFonts w:ascii="宋体" w:hAnsi="宋体" w:cs="宋体"/>
          <w:b/>
          <w:color w:val="auto"/>
          <w:sz w:val="32"/>
          <w:szCs w:val="32"/>
          <w:highlight w:val="none"/>
        </w:rPr>
        <w:sectPr>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p>
    <w:bookmarkEnd w:id="0"/>
    <w:bookmarkEnd w:id="1"/>
    <w:p>
      <w:pPr>
        <w:pStyle w:val="2"/>
        <w:ind w:firstLine="0"/>
        <w:rPr>
          <w:color w:val="auto"/>
          <w:highlight w:val="yellow"/>
        </w:rPr>
      </w:pPr>
      <w:bookmarkStart w:id="4" w:name="_Toc8022"/>
      <w:bookmarkStart w:id="5" w:name="_Toc6807"/>
      <w:bookmarkStart w:id="6" w:name="_Toc7509"/>
      <w:bookmarkStart w:id="7" w:name="_Toc31424"/>
      <w:bookmarkStart w:id="8" w:name="_Toc10312"/>
      <w:bookmarkStart w:id="9" w:name="_Toc4825"/>
      <w:bookmarkStart w:id="10" w:name="_Toc24660"/>
      <w:bookmarkStart w:id="11" w:name="_Toc23868_WPSOffice_Level1"/>
    </w:p>
    <w:p>
      <w:pPr>
        <w:numPr>
          <w:ilvl w:val="0"/>
          <w:numId w:val="1"/>
        </w:numPr>
        <w:spacing w:before="42"/>
        <w:ind w:left="372" w:right="369"/>
        <w:jc w:val="center"/>
        <w:rPr>
          <w:rFonts w:ascii="黑体" w:hAnsi="黑体" w:eastAsia="黑体" w:cs="黑体"/>
          <w:b/>
          <w:bCs/>
          <w:color w:val="auto"/>
          <w:sz w:val="32"/>
          <w:szCs w:val="32"/>
          <w:highlight w:val="none"/>
          <w:lang w:val="zh-CN" w:bidi="zh-CN"/>
        </w:rPr>
      </w:pPr>
      <w:r>
        <w:rPr>
          <w:rFonts w:hint="eastAsia" w:ascii="黑体" w:hAnsi="黑体" w:eastAsia="黑体" w:cs="黑体"/>
          <w:b/>
          <w:bCs/>
          <w:color w:val="auto"/>
          <w:sz w:val="32"/>
          <w:szCs w:val="32"/>
          <w:highlight w:val="none"/>
          <w:lang w:val="zh-CN" w:bidi="zh-CN"/>
        </w:rPr>
        <w:t>投标人须知前附表</w:t>
      </w:r>
    </w:p>
    <w:p>
      <w:pPr>
        <w:pStyle w:val="2"/>
        <w:ind w:firstLine="0"/>
        <w:rPr>
          <w:color w:val="auto"/>
          <w:highlight w:val="none"/>
        </w:rPr>
      </w:pPr>
    </w:p>
    <w:tbl>
      <w:tblPr>
        <w:tblStyle w:val="25"/>
        <w:tblW w:w="92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9"/>
        <w:gridCol w:w="1924"/>
        <w:gridCol w:w="64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jc w:val="center"/>
        </w:trPr>
        <w:tc>
          <w:tcPr>
            <w:tcW w:w="959" w:type="dxa"/>
            <w:noWrap w:val="0"/>
            <w:vAlign w:val="center"/>
          </w:tcPr>
          <w:p>
            <w:pPr>
              <w:pStyle w:val="37"/>
              <w:spacing w:before="144"/>
              <w:ind w:right="152"/>
              <w:jc w:val="right"/>
              <w:rPr>
                <w:b/>
                <w:color w:val="auto"/>
                <w:highlight w:val="none"/>
              </w:rPr>
            </w:pPr>
            <w:r>
              <w:rPr>
                <w:b/>
                <w:color w:val="auto"/>
                <w:highlight w:val="none"/>
              </w:rPr>
              <w:t>条款号</w:t>
            </w:r>
          </w:p>
        </w:tc>
        <w:tc>
          <w:tcPr>
            <w:tcW w:w="1924" w:type="dxa"/>
            <w:noWrap w:val="0"/>
            <w:vAlign w:val="center"/>
          </w:tcPr>
          <w:p>
            <w:pPr>
              <w:pStyle w:val="37"/>
              <w:spacing w:before="144"/>
              <w:ind w:left="109" w:right="99"/>
              <w:jc w:val="center"/>
              <w:rPr>
                <w:b/>
                <w:color w:val="auto"/>
                <w:highlight w:val="none"/>
              </w:rPr>
            </w:pPr>
            <w:r>
              <w:rPr>
                <w:b/>
                <w:color w:val="auto"/>
                <w:highlight w:val="none"/>
              </w:rPr>
              <w:t>条款名称</w:t>
            </w:r>
          </w:p>
        </w:tc>
        <w:tc>
          <w:tcPr>
            <w:tcW w:w="6408" w:type="dxa"/>
            <w:noWrap w:val="0"/>
            <w:vAlign w:val="center"/>
          </w:tcPr>
          <w:p>
            <w:pPr>
              <w:pStyle w:val="37"/>
              <w:spacing w:before="144"/>
              <w:ind w:left="2748" w:right="2736"/>
              <w:jc w:val="center"/>
              <w:rPr>
                <w:b/>
                <w:color w:val="auto"/>
                <w:highlight w:val="none"/>
              </w:rPr>
            </w:pPr>
            <w:r>
              <w:rPr>
                <w:b/>
                <w:color w:val="auto"/>
                <w:highlight w:val="none"/>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6" w:hRule="atLeast"/>
          <w:jc w:val="center"/>
        </w:trPr>
        <w:tc>
          <w:tcPr>
            <w:tcW w:w="959" w:type="dxa"/>
            <w:noWrap w:val="0"/>
            <w:vAlign w:val="center"/>
          </w:tcPr>
          <w:p>
            <w:pPr>
              <w:pStyle w:val="37"/>
              <w:spacing w:before="1"/>
              <w:ind w:right="206"/>
              <w:jc w:val="center"/>
              <w:rPr>
                <w:color w:val="auto"/>
                <w:szCs w:val="21"/>
                <w:highlight w:val="none"/>
              </w:rPr>
            </w:pPr>
            <w:r>
              <w:rPr>
                <w:rFonts w:hint="eastAsia"/>
                <w:color w:val="auto"/>
                <w:szCs w:val="21"/>
                <w:highlight w:val="none"/>
                <w:lang w:val="en-US"/>
              </w:rPr>
              <w:t xml:space="preserve">  </w:t>
            </w:r>
            <w:r>
              <w:rPr>
                <w:color w:val="auto"/>
                <w:szCs w:val="21"/>
                <w:highlight w:val="none"/>
              </w:rPr>
              <w:t>1.1.2</w:t>
            </w:r>
          </w:p>
        </w:tc>
        <w:tc>
          <w:tcPr>
            <w:tcW w:w="1924" w:type="dxa"/>
            <w:noWrap w:val="0"/>
            <w:vAlign w:val="center"/>
          </w:tcPr>
          <w:p>
            <w:pPr>
              <w:pStyle w:val="37"/>
              <w:spacing w:before="1" w:line="240" w:lineRule="auto"/>
              <w:ind w:left="107" w:right="99"/>
              <w:jc w:val="center"/>
              <w:rPr>
                <w:rFonts w:hint="eastAsia"/>
                <w:color w:val="auto"/>
                <w:szCs w:val="22"/>
                <w:highlight w:val="none"/>
                <w:lang w:val="en-US" w:bidi="ar-SA"/>
              </w:rPr>
            </w:pPr>
            <w:r>
              <w:rPr>
                <w:rFonts w:hint="eastAsia"/>
                <w:color w:val="auto"/>
                <w:szCs w:val="22"/>
                <w:highlight w:val="none"/>
                <w:lang w:val="en-US" w:bidi="ar-SA"/>
              </w:rPr>
              <w:t>招标人</w:t>
            </w:r>
          </w:p>
        </w:tc>
        <w:tc>
          <w:tcPr>
            <w:tcW w:w="6408" w:type="dxa"/>
            <w:noWrap w:val="0"/>
            <w:vAlign w:val="center"/>
          </w:tcPr>
          <w:p>
            <w:pPr>
              <w:snapToGrid w:val="0"/>
              <w:spacing w:line="240" w:lineRule="auto"/>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招标人：四川省交通建设集团股份有限公司</w:t>
            </w:r>
          </w:p>
          <w:p>
            <w:pPr>
              <w:snapToGrid w:val="0"/>
              <w:spacing w:line="240" w:lineRule="auto"/>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地  址：成都市二环路西一段90号</w:t>
            </w:r>
          </w:p>
          <w:p>
            <w:pPr>
              <w:adjustRightInd w:val="0"/>
              <w:snapToGrid w:val="0"/>
              <w:spacing w:line="240" w:lineRule="auto"/>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邮  编：610041</w:t>
            </w:r>
          </w:p>
          <w:p>
            <w:pPr>
              <w:adjustRightInd w:val="0"/>
              <w:snapToGrid w:val="0"/>
              <w:spacing w:line="240" w:lineRule="auto"/>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zh-CN" w:eastAsia="zh-CN" w:bidi="zh-CN"/>
              </w:rPr>
              <w:t>电  话：</w:t>
            </w:r>
            <w:r>
              <w:rPr>
                <w:rFonts w:hint="eastAsia" w:ascii="宋体" w:hAnsi="宋体" w:eastAsia="宋体" w:cs="宋体"/>
                <w:color w:val="auto"/>
                <w:kern w:val="2"/>
                <w:sz w:val="21"/>
                <w:szCs w:val="21"/>
                <w:highlight w:val="none"/>
                <w:lang w:val="en-US" w:eastAsia="zh-CN" w:bidi="zh-CN"/>
              </w:rPr>
              <w:t>15882297876</w:t>
            </w:r>
          </w:p>
          <w:p>
            <w:pPr>
              <w:tabs>
                <w:tab w:val="left" w:pos="5220"/>
                <w:tab w:val="left" w:pos="5400"/>
                <w:tab w:val="left" w:pos="5580"/>
              </w:tabs>
              <w:spacing w:line="240" w:lineRule="auto"/>
              <w:jc w:val="left"/>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zh-CN" w:eastAsia="zh-CN" w:bidi="zh-CN"/>
              </w:rPr>
              <w:t>联系人：许女士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jc w:val="center"/>
        </w:trPr>
        <w:tc>
          <w:tcPr>
            <w:tcW w:w="959" w:type="dxa"/>
            <w:noWrap w:val="0"/>
            <w:vAlign w:val="center"/>
          </w:tcPr>
          <w:p>
            <w:pPr>
              <w:pStyle w:val="37"/>
              <w:ind w:right="206"/>
              <w:jc w:val="right"/>
              <w:rPr>
                <w:color w:val="auto"/>
                <w:szCs w:val="21"/>
                <w:highlight w:val="none"/>
              </w:rPr>
            </w:pPr>
            <w:r>
              <w:rPr>
                <w:color w:val="auto"/>
                <w:szCs w:val="21"/>
                <w:highlight w:val="none"/>
              </w:rPr>
              <w:t>1.1.4</w:t>
            </w:r>
          </w:p>
        </w:tc>
        <w:tc>
          <w:tcPr>
            <w:tcW w:w="1924" w:type="dxa"/>
            <w:noWrap w:val="0"/>
            <w:vAlign w:val="center"/>
          </w:tcPr>
          <w:p>
            <w:pPr>
              <w:pStyle w:val="37"/>
              <w:ind w:left="104" w:right="99"/>
              <w:jc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项目名称</w:t>
            </w:r>
          </w:p>
        </w:tc>
        <w:tc>
          <w:tcPr>
            <w:tcW w:w="6408" w:type="dxa"/>
            <w:noWrap w:val="0"/>
            <w:vAlign w:val="center"/>
          </w:tcPr>
          <w:p>
            <w:pPr>
              <w:pStyle w:val="2"/>
              <w:ind w:firstLine="0"/>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内宜高速公路桥梁三类构件维修处治工程（岷江二桥）劳务合作（第二次）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jc w:val="center"/>
        </w:trPr>
        <w:tc>
          <w:tcPr>
            <w:tcW w:w="959" w:type="dxa"/>
            <w:noWrap w:val="0"/>
            <w:vAlign w:val="center"/>
          </w:tcPr>
          <w:p>
            <w:pPr>
              <w:pStyle w:val="37"/>
              <w:spacing w:before="180" w:line="360" w:lineRule="auto"/>
              <w:ind w:right="206"/>
              <w:jc w:val="right"/>
              <w:rPr>
                <w:color w:val="auto"/>
                <w:szCs w:val="21"/>
                <w:highlight w:val="none"/>
              </w:rPr>
            </w:pPr>
            <w:r>
              <w:rPr>
                <w:color w:val="auto"/>
                <w:szCs w:val="21"/>
                <w:highlight w:val="none"/>
              </w:rPr>
              <w:t>1.1.5</w:t>
            </w:r>
          </w:p>
        </w:tc>
        <w:tc>
          <w:tcPr>
            <w:tcW w:w="1924" w:type="dxa"/>
            <w:noWrap w:val="0"/>
            <w:vAlign w:val="center"/>
          </w:tcPr>
          <w:p>
            <w:pPr>
              <w:pStyle w:val="37"/>
              <w:spacing w:before="180" w:line="360" w:lineRule="auto"/>
              <w:ind w:left="104" w:right="99"/>
              <w:jc w:val="center"/>
              <w:rPr>
                <w:color w:val="auto"/>
                <w:szCs w:val="21"/>
                <w:highlight w:val="none"/>
              </w:rPr>
            </w:pPr>
            <w:r>
              <w:rPr>
                <w:color w:val="auto"/>
                <w:szCs w:val="21"/>
                <w:highlight w:val="none"/>
              </w:rPr>
              <w:t>建设地点</w:t>
            </w:r>
          </w:p>
        </w:tc>
        <w:tc>
          <w:tcPr>
            <w:tcW w:w="6408" w:type="dxa"/>
            <w:noWrap w:val="0"/>
            <w:vAlign w:val="center"/>
          </w:tcPr>
          <w:p>
            <w:pPr>
              <w:pStyle w:val="37"/>
              <w:spacing w:line="360" w:lineRule="exact"/>
              <w:ind w:left="107" w:right="93"/>
              <w:rPr>
                <w:rFonts w:hint="default" w:eastAsia="宋体"/>
                <w:color w:val="auto"/>
                <w:szCs w:val="21"/>
                <w:highlight w:val="none"/>
                <w:lang w:val="en-US" w:eastAsia="zh-CN"/>
              </w:rPr>
            </w:pPr>
            <w:r>
              <w:rPr>
                <w:rFonts w:hint="eastAsia"/>
                <w:color w:val="auto"/>
                <w:szCs w:val="21"/>
                <w:highlight w:val="none"/>
                <w:lang w:val="en-US"/>
              </w:rPr>
              <w:t>四川省</w:t>
            </w:r>
            <w:r>
              <w:rPr>
                <w:rFonts w:hint="eastAsia"/>
                <w:color w:val="auto"/>
                <w:szCs w:val="21"/>
                <w:highlight w:val="none"/>
                <w:lang w:val="en-US" w:eastAsia="zh-CN"/>
              </w:rPr>
              <w:t>宜宾市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959" w:type="dxa"/>
            <w:noWrap w:val="0"/>
            <w:vAlign w:val="center"/>
          </w:tcPr>
          <w:p>
            <w:pPr>
              <w:pStyle w:val="37"/>
              <w:spacing w:before="1"/>
              <w:ind w:right="206"/>
              <w:jc w:val="right"/>
              <w:rPr>
                <w:color w:val="auto"/>
                <w:szCs w:val="21"/>
                <w:highlight w:val="none"/>
              </w:rPr>
            </w:pPr>
            <w:r>
              <w:rPr>
                <w:color w:val="auto"/>
                <w:szCs w:val="21"/>
                <w:highlight w:val="none"/>
              </w:rPr>
              <w:t>1.2.2</w:t>
            </w:r>
          </w:p>
        </w:tc>
        <w:tc>
          <w:tcPr>
            <w:tcW w:w="1924" w:type="dxa"/>
            <w:noWrap w:val="0"/>
            <w:vAlign w:val="center"/>
          </w:tcPr>
          <w:p>
            <w:pPr>
              <w:pStyle w:val="37"/>
              <w:spacing w:before="1"/>
              <w:ind w:left="107" w:right="99"/>
              <w:jc w:val="center"/>
              <w:rPr>
                <w:color w:val="auto"/>
                <w:szCs w:val="21"/>
                <w:highlight w:val="none"/>
              </w:rPr>
            </w:pPr>
            <w:r>
              <w:rPr>
                <w:color w:val="auto"/>
                <w:szCs w:val="21"/>
                <w:highlight w:val="none"/>
              </w:rPr>
              <w:t>资金落实情况</w:t>
            </w:r>
          </w:p>
        </w:tc>
        <w:tc>
          <w:tcPr>
            <w:tcW w:w="6408" w:type="dxa"/>
            <w:noWrap w:val="0"/>
            <w:vAlign w:val="center"/>
          </w:tcPr>
          <w:p>
            <w:pPr>
              <w:pStyle w:val="37"/>
              <w:spacing w:line="360" w:lineRule="exact"/>
              <w:ind w:left="107" w:right="93"/>
              <w:rPr>
                <w:rFonts w:hint="eastAsia"/>
                <w:color w:val="auto"/>
                <w:szCs w:val="21"/>
                <w:highlight w:val="none"/>
                <w:lang w:val="en-US"/>
              </w:rPr>
            </w:pPr>
            <w:r>
              <w:rPr>
                <w:rFonts w:hint="eastAsia"/>
                <w:color w:val="auto"/>
                <w:szCs w:val="21"/>
                <w:highlight w:val="none"/>
                <w:lang w:val="en-US"/>
              </w:rPr>
              <w:t>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959" w:type="dxa"/>
            <w:noWrap w:val="0"/>
            <w:vAlign w:val="center"/>
          </w:tcPr>
          <w:p>
            <w:pPr>
              <w:pStyle w:val="37"/>
              <w:spacing w:before="179"/>
              <w:ind w:right="206"/>
              <w:jc w:val="right"/>
              <w:rPr>
                <w:color w:val="auto"/>
                <w:szCs w:val="21"/>
                <w:highlight w:val="none"/>
              </w:rPr>
            </w:pPr>
            <w:r>
              <w:rPr>
                <w:color w:val="auto"/>
                <w:szCs w:val="21"/>
                <w:highlight w:val="none"/>
              </w:rPr>
              <w:t>1.3.1</w:t>
            </w:r>
          </w:p>
        </w:tc>
        <w:tc>
          <w:tcPr>
            <w:tcW w:w="1924" w:type="dxa"/>
            <w:noWrap w:val="0"/>
            <w:vAlign w:val="center"/>
          </w:tcPr>
          <w:p>
            <w:pPr>
              <w:pStyle w:val="37"/>
              <w:spacing w:before="179"/>
              <w:ind w:left="104" w:right="99"/>
              <w:jc w:val="center"/>
              <w:rPr>
                <w:color w:val="auto"/>
                <w:szCs w:val="21"/>
                <w:highlight w:val="none"/>
              </w:rPr>
            </w:pPr>
            <w:r>
              <w:rPr>
                <w:color w:val="auto"/>
                <w:szCs w:val="21"/>
                <w:highlight w:val="none"/>
              </w:rPr>
              <w:t>招标范围</w:t>
            </w:r>
          </w:p>
        </w:tc>
        <w:tc>
          <w:tcPr>
            <w:tcW w:w="6408" w:type="dxa"/>
            <w:noWrap w:val="0"/>
            <w:vAlign w:val="center"/>
          </w:tcPr>
          <w:p>
            <w:pPr>
              <w:pStyle w:val="37"/>
              <w:spacing w:line="360" w:lineRule="exact"/>
              <w:ind w:left="107" w:right="93"/>
              <w:rPr>
                <w:rFonts w:hint="eastAsia"/>
                <w:color w:val="auto"/>
                <w:szCs w:val="21"/>
                <w:highlight w:val="none"/>
                <w:lang w:val="en-US"/>
              </w:rPr>
            </w:pPr>
            <w:r>
              <w:rPr>
                <w:rFonts w:hint="eastAsia"/>
                <w:color w:val="auto"/>
                <w:szCs w:val="21"/>
                <w:highlight w:val="none"/>
                <w:lang w:val="en-US"/>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959" w:type="dxa"/>
            <w:noWrap w:val="0"/>
            <w:vAlign w:val="center"/>
          </w:tcPr>
          <w:p>
            <w:pPr>
              <w:pStyle w:val="37"/>
              <w:ind w:right="206"/>
              <w:jc w:val="right"/>
              <w:rPr>
                <w:color w:val="auto"/>
                <w:szCs w:val="21"/>
                <w:highlight w:val="none"/>
              </w:rPr>
            </w:pPr>
            <w:r>
              <w:rPr>
                <w:color w:val="auto"/>
                <w:szCs w:val="21"/>
                <w:highlight w:val="none"/>
              </w:rPr>
              <w:t>1.3.2</w:t>
            </w:r>
          </w:p>
        </w:tc>
        <w:tc>
          <w:tcPr>
            <w:tcW w:w="1924" w:type="dxa"/>
            <w:noWrap w:val="0"/>
            <w:vAlign w:val="center"/>
          </w:tcPr>
          <w:p>
            <w:pPr>
              <w:pStyle w:val="37"/>
              <w:ind w:left="104" w:right="99"/>
              <w:jc w:val="center"/>
              <w:rPr>
                <w:color w:val="auto"/>
                <w:szCs w:val="21"/>
                <w:highlight w:val="none"/>
              </w:rPr>
            </w:pPr>
            <w:r>
              <w:rPr>
                <w:color w:val="auto"/>
                <w:szCs w:val="21"/>
                <w:highlight w:val="none"/>
              </w:rPr>
              <w:t>计划工期</w:t>
            </w:r>
          </w:p>
        </w:tc>
        <w:tc>
          <w:tcPr>
            <w:tcW w:w="6408" w:type="dxa"/>
            <w:noWrap w:val="0"/>
            <w:vAlign w:val="center"/>
          </w:tcPr>
          <w:p>
            <w:pPr>
              <w:pStyle w:val="37"/>
              <w:shd w:val="clear"/>
              <w:spacing w:line="360" w:lineRule="exact"/>
              <w:ind w:left="107" w:right="68"/>
              <w:rPr>
                <w:szCs w:val="21"/>
                <w:highlight w:val="none"/>
              </w:rPr>
            </w:pPr>
            <w:r>
              <w:rPr>
                <w:rFonts w:hint="eastAsia"/>
                <w:szCs w:val="21"/>
                <w:highlight w:val="none"/>
              </w:rPr>
              <w:t>计划工期：</w:t>
            </w:r>
            <w:r>
              <w:rPr>
                <w:rFonts w:hint="eastAsia"/>
                <w:szCs w:val="21"/>
                <w:highlight w:val="none"/>
                <w:lang w:val="en-US"/>
              </w:rPr>
              <w:t>详见招标公告</w:t>
            </w:r>
            <w:r>
              <w:rPr>
                <w:rFonts w:hint="eastAsia"/>
                <w:szCs w:val="21"/>
                <w:highlight w:val="none"/>
              </w:rPr>
              <w:t>。</w:t>
            </w:r>
          </w:p>
          <w:p>
            <w:pPr>
              <w:pStyle w:val="37"/>
              <w:shd w:val="clear"/>
              <w:spacing w:line="360" w:lineRule="exact"/>
              <w:ind w:left="107" w:right="68"/>
              <w:rPr>
                <w:szCs w:val="21"/>
                <w:highlight w:val="none"/>
              </w:rPr>
            </w:pPr>
            <w:r>
              <w:rPr>
                <w:rFonts w:hint="eastAsia"/>
                <w:szCs w:val="21"/>
                <w:highlight w:val="none"/>
              </w:rPr>
              <w:t>缺陷责任期：</w:t>
            </w:r>
            <w:r>
              <w:rPr>
                <w:rFonts w:hint="eastAsia"/>
                <w:szCs w:val="21"/>
                <w:highlight w:val="none"/>
                <w:u w:val="single"/>
                <w:lang w:val="en-US"/>
              </w:rPr>
              <w:t>12</w:t>
            </w:r>
            <w:r>
              <w:rPr>
                <w:rFonts w:hint="eastAsia"/>
                <w:szCs w:val="21"/>
                <w:highlight w:val="none"/>
              </w:rPr>
              <w:t>个月</w:t>
            </w:r>
          </w:p>
          <w:p>
            <w:pPr>
              <w:pStyle w:val="37"/>
              <w:spacing w:line="360" w:lineRule="exact"/>
              <w:ind w:left="107" w:right="93"/>
              <w:rPr>
                <w:rFonts w:hint="eastAsia"/>
                <w:color w:val="auto"/>
                <w:szCs w:val="21"/>
                <w:highlight w:val="none"/>
                <w:lang w:val="en-US"/>
              </w:rPr>
            </w:pPr>
            <w:r>
              <w:rPr>
                <w:rFonts w:hint="eastAsia"/>
                <w:szCs w:val="21"/>
                <w:highlight w:val="none"/>
              </w:rPr>
              <w:t>保修期：</w:t>
            </w:r>
            <w:r>
              <w:rPr>
                <w:rFonts w:hint="eastAsia"/>
                <w:szCs w:val="21"/>
                <w:highlight w:val="none"/>
                <w:u w:val="single"/>
                <w:lang w:val="en-US"/>
              </w:rPr>
              <w:t>60</w:t>
            </w:r>
            <w:r>
              <w:rPr>
                <w:rFonts w:hint="eastAsia"/>
                <w:szCs w:val="21"/>
                <w:highlight w:val="none"/>
              </w:rPr>
              <w:t>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959" w:type="dxa"/>
            <w:noWrap w:val="0"/>
            <w:vAlign w:val="center"/>
          </w:tcPr>
          <w:p>
            <w:pPr>
              <w:pStyle w:val="37"/>
              <w:spacing w:before="1"/>
              <w:ind w:right="206"/>
              <w:jc w:val="right"/>
              <w:rPr>
                <w:color w:val="auto"/>
                <w:szCs w:val="21"/>
                <w:highlight w:val="none"/>
              </w:rPr>
            </w:pPr>
            <w:r>
              <w:rPr>
                <w:color w:val="auto"/>
                <w:szCs w:val="21"/>
                <w:highlight w:val="none"/>
              </w:rPr>
              <w:t>1.3.3</w:t>
            </w:r>
          </w:p>
        </w:tc>
        <w:tc>
          <w:tcPr>
            <w:tcW w:w="1924" w:type="dxa"/>
            <w:noWrap w:val="0"/>
            <w:vAlign w:val="center"/>
          </w:tcPr>
          <w:p>
            <w:pPr>
              <w:pStyle w:val="37"/>
              <w:spacing w:before="1"/>
              <w:ind w:left="104" w:right="99"/>
              <w:jc w:val="center"/>
              <w:rPr>
                <w:color w:val="auto"/>
                <w:szCs w:val="21"/>
                <w:highlight w:val="none"/>
              </w:rPr>
            </w:pPr>
            <w:r>
              <w:rPr>
                <w:color w:val="auto"/>
                <w:szCs w:val="21"/>
                <w:highlight w:val="none"/>
              </w:rPr>
              <w:t>质量要求</w:t>
            </w:r>
          </w:p>
        </w:tc>
        <w:tc>
          <w:tcPr>
            <w:tcW w:w="6408" w:type="dxa"/>
            <w:noWrap w:val="0"/>
            <w:vAlign w:val="center"/>
          </w:tcPr>
          <w:p>
            <w:pPr>
              <w:pStyle w:val="37"/>
              <w:spacing w:line="360" w:lineRule="exact"/>
              <w:ind w:left="107" w:right="93"/>
              <w:rPr>
                <w:rFonts w:hint="eastAsia" w:eastAsia="宋体"/>
                <w:color w:val="auto"/>
                <w:szCs w:val="21"/>
                <w:highlight w:val="none"/>
                <w:lang w:val="en-US" w:eastAsia="zh-CN"/>
              </w:rPr>
            </w:pPr>
            <w:r>
              <w:rPr>
                <w:rFonts w:hint="eastAsia"/>
                <w:color w:val="auto"/>
                <w:szCs w:val="21"/>
                <w:highlight w:val="none"/>
                <w:lang w:val="en-US"/>
              </w:rPr>
              <w:t>交工验收的工程质量目标：合格；竣工验收的工程质量目标：</w:t>
            </w:r>
            <w:r>
              <w:rPr>
                <w:rFonts w:hint="eastAsia"/>
                <w:color w:val="auto"/>
                <w:szCs w:val="21"/>
                <w:highlight w:val="none"/>
                <w:lang w:val="en-US" w:eastAsia="zh-CN"/>
              </w:rPr>
              <w:t>合格</w:t>
            </w:r>
            <w:r>
              <w:rPr>
                <w:rFonts w:hint="eastAsia"/>
                <w:color w:val="auto"/>
                <w:szCs w:val="21"/>
                <w:highlight w:val="none"/>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noWrap w:val="0"/>
            <w:vAlign w:val="center"/>
          </w:tcPr>
          <w:p>
            <w:pPr>
              <w:pStyle w:val="37"/>
              <w:ind w:right="206"/>
              <w:jc w:val="right"/>
              <w:rPr>
                <w:color w:val="auto"/>
                <w:szCs w:val="21"/>
                <w:highlight w:val="none"/>
              </w:rPr>
            </w:pPr>
            <w:r>
              <w:rPr>
                <w:color w:val="auto"/>
                <w:szCs w:val="21"/>
                <w:highlight w:val="none"/>
              </w:rPr>
              <w:t>1.3.4</w:t>
            </w:r>
          </w:p>
        </w:tc>
        <w:tc>
          <w:tcPr>
            <w:tcW w:w="1924" w:type="dxa"/>
            <w:noWrap w:val="0"/>
            <w:vAlign w:val="center"/>
          </w:tcPr>
          <w:p>
            <w:pPr>
              <w:pStyle w:val="37"/>
              <w:spacing w:line="360" w:lineRule="exact"/>
              <w:ind w:left="500" w:right="492"/>
              <w:rPr>
                <w:color w:val="auto"/>
                <w:szCs w:val="21"/>
                <w:highlight w:val="none"/>
              </w:rPr>
            </w:pPr>
            <w:r>
              <w:rPr>
                <w:color w:val="auto"/>
                <w:szCs w:val="21"/>
                <w:highlight w:val="none"/>
              </w:rPr>
              <w:t>本标段的安全目标</w:t>
            </w:r>
          </w:p>
        </w:tc>
        <w:tc>
          <w:tcPr>
            <w:tcW w:w="6408" w:type="dxa"/>
            <w:noWrap w:val="0"/>
            <w:vAlign w:val="center"/>
          </w:tcPr>
          <w:p>
            <w:pPr>
              <w:pStyle w:val="37"/>
              <w:ind w:left="107"/>
              <w:rPr>
                <w:color w:val="auto"/>
                <w:szCs w:val="21"/>
                <w:highlight w:val="none"/>
              </w:rPr>
            </w:pPr>
            <w:r>
              <w:rPr>
                <w:rFonts w:hint="eastAsia"/>
                <w:color w:val="auto"/>
                <w:szCs w:val="21"/>
                <w:highlight w:val="none"/>
              </w:rPr>
              <w:t>不发生等级安全事故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noWrap w:val="0"/>
            <w:vAlign w:val="center"/>
          </w:tcPr>
          <w:p>
            <w:pPr>
              <w:pStyle w:val="37"/>
              <w:ind w:right="206"/>
              <w:jc w:val="right"/>
              <w:rPr>
                <w:color w:val="auto"/>
                <w:szCs w:val="21"/>
                <w:highlight w:val="none"/>
              </w:rPr>
            </w:pPr>
            <w:r>
              <w:rPr>
                <w:color w:val="auto"/>
                <w:szCs w:val="21"/>
                <w:highlight w:val="none"/>
              </w:rPr>
              <w:t>1.4.1</w:t>
            </w:r>
          </w:p>
        </w:tc>
        <w:tc>
          <w:tcPr>
            <w:tcW w:w="1924" w:type="dxa"/>
            <w:noWrap w:val="0"/>
            <w:vAlign w:val="center"/>
          </w:tcPr>
          <w:p>
            <w:pPr>
              <w:pStyle w:val="37"/>
              <w:spacing w:before="172" w:line="278" w:lineRule="auto"/>
              <w:ind w:left="394" w:right="43" w:hanging="288"/>
              <w:rPr>
                <w:color w:val="auto"/>
                <w:szCs w:val="21"/>
                <w:highlight w:val="none"/>
              </w:rPr>
            </w:pPr>
            <w:r>
              <w:rPr>
                <w:color w:val="auto"/>
                <w:szCs w:val="21"/>
                <w:highlight w:val="none"/>
              </w:rPr>
              <w:t>投标人资质条件、能力和信誉</w:t>
            </w:r>
          </w:p>
        </w:tc>
        <w:tc>
          <w:tcPr>
            <w:tcW w:w="6408" w:type="dxa"/>
            <w:noWrap w:val="0"/>
            <w:vAlign w:val="center"/>
          </w:tcPr>
          <w:p>
            <w:pPr>
              <w:pStyle w:val="37"/>
              <w:spacing w:before="1" w:line="314" w:lineRule="exact"/>
              <w:ind w:left="107" w:right="98"/>
              <w:rPr>
                <w:color w:val="auto"/>
                <w:szCs w:val="21"/>
                <w:highlight w:val="none"/>
              </w:rPr>
            </w:pPr>
            <w:r>
              <w:rPr>
                <w:rFonts w:hint="eastAsia"/>
                <w:color w:val="auto"/>
                <w:szCs w:val="21"/>
                <w:highlight w:val="none"/>
              </w:rPr>
              <w:t>1、资质条件：详见招标公告</w:t>
            </w:r>
          </w:p>
          <w:p>
            <w:pPr>
              <w:pStyle w:val="37"/>
              <w:spacing w:before="1" w:line="314" w:lineRule="exact"/>
              <w:ind w:left="107" w:right="98"/>
              <w:rPr>
                <w:color w:val="auto"/>
                <w:szCs w:val="21"/>
                <w:highlight w:val="none"/>
              </w:rPr>
            </w:pPr>
            <w:r>
              <w:rPr>
                <w:rFonts w:hint="eastAsia"/>
                <w:color w:val="auto"/>
                <w:szCs w:val="21"/>
                <w:highlight w:val="none"/>
              </w:rPr>
              <w:t>2、业绩要求：详见招标公告</w:t>
            </w:r>
          </w:p>
          <w:p>
            <w:pPr>
              <w:pStyle w:val="37"/>
              <w:spacing w:before="1" w:line="314" w:lineRule="exact"/>
              <w:ind w:left="107" w:right="98"/>
              <w:rPr>
                <w:color w:val="auto"/>
                <w:szCs w:val="21"/>
                <w:highlight w:val="none"/>
              </w:rPr>
            </w:pPr>
            <w:r>
              <w:rPr>
                <w:rFonts w:hint="eastAsia"/>
                <w:color w:val="auto"/>
                <w:szCs w:val="21"/>
                <w:highlight w:val="none"/>
                <w:lang w:val="en-US"/>
              </w:rPr>
              <w:t>3、</w:t>
            </w:r>
            <w:r>
              <w:rPr>
                <w:rFonts w:hint="eastAsia"/>
                <w:color w:val="auto"/>
                <w:szCs w:val="21"/>
                <w:highlight w:val="none"/>
              </w:rPr>
              <w:t>财务要求：详见招标公告</w:t>
            </w:r>
          </w:p>
          <w:p>
            <w:pPr>
              <w:pStyle w:val="37"/>
              <w:spacing w:before="1" w:line="314" w:lineRule="exact"/>
              <w:ind w:left="107" w:right="98"/>
              <w:rPr>
                <w:color w:val="auto"/>
                <w:szCs w:val="21"/>
                <w:highlight w:val="none"/>
                <w:lang w:val="en-US"/>
              </w:rPr>
            </w:pPr>
            <w:r>
              <w:rPr>
                <w:rFonts w:hint="eastAsia"/>
                <w:color w:val="auto"/>
                <w:szCs w:val="21"/>
                <w:highlight w:val="none"/>
                <w:lang w:val="en-US"/>
              </w:rPr>
              <w:t>4</w:t>
            </w:r>
            <w:r>
              <w:rPr>
                <w:rFonts w:hint="eastAsia"/>
                <w:color w:val="auto"/>
                <w:szCs w:val="21"/>
                <w:highlight w:val="none"/>
              </w:rPr>
              <w:t>、</w:t>
            </w:r>
            <w:r>
              <w:rPr>
                <w:rFonts w:hint="eastAsia"/>
                <w:color w:val="auto"/>
                <w:szCs w:val="21"/>
                <w:highlight w:val="none"/>
                <w:lang w:val="en-US"/>
              </w:rPr>
              <w:t>设备要求：</w:t>
            </w:r>
            <w:r>
              <w:rPr>
                <w:rFonts w:hint="eastAsia"/>
                <w:color w:val="auto"/>
                <w:szCs w:val="21"/>
                <w:highlight w:val="none"/>
              </w:rPr>
              <w:t>详见招标公告</w:t>
            </w:r>
          </w:p>
          <w:p>
            <w:pPr>
              <w:pStyle w:val="37"/>
              <w:spacing w:before="1" w:line="314" w:lineRule="exact"/>
              <w:ind w:left="107" w:right="98"/>
              <w:rPr>
                <w:color w:val="auto"/>
                <w:szCs w:val="21"/>
                <w:highlight w:val="none"/>
              </w:rPr>
            </w:pPr>
            <w:r>
              <w:rPr>
                <w:rFonts w:hint="eastAsia"/>
                <w:color w:val="auto"/>
                <w:szCs w:val="21"/>
                <w:highlight w:val="none"/>
              </w:rPr>
              <w:t>5、其他要求：无</w:t>
            </w:r>
          </w:p>
          <w:p>
            <w:pPr>
              <w:pStyle w:val="37"/>
              <w:spacing w:before="1" w:line="314" w:lineRule="exact"/>
              <w:ind w:left="107" w:right="98"/>
              <w:rPr>
                <w:color w:val="auto"/>
                <w:szCs w:val="21"/>
                <w:highlight w:val="none"/>
              </w:rPr>
            </w:pPr>
            <w:r>
              <w:rPr>
                <w:rFonts w:hint="eastAsia"/>
                <w:color w:val="auto"/>
                <w:szCs w:val="21"/>
                <w:highlight w:val="none"/>
              </w:rPr>
              <w:t>注：上述要求应附相关证明材料，证明材料以第</w:t>
            </w:r>
            <w:r>
              <w:rPr>
                <w:rFonts w:hint="eastAsia"/>
                <w:color w:val="auto"/>
                <w:szCs w:val="21"/>
                <w:highlight w:val="none"/>
                <w:lang w:val="en-US"/>
              </w:rPr>
              <w:t>四</w:t>
            </w:r>
            <w:r>
              <w:rPr>
                <w:rFonts w:hint="eastAsia"/>
                <w:color w:val="auto"/>
                <w:szCs w:val="21"/>
                <w:highlight w:val="none"/>
              </w:rPr>
              <w:t>章投标文件格式中要求为准。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959" w:type="dxa"/>
            <w:noWrap w:val="0"/>
            <w:vAlign w:val="center"/>
          </w:tcPr>
          <w:p>
            <w:pPr>
              <w:pStyle w:val="37"/>
              <w:spacing w:before="155"/>
              <w:ind w:right="206"/>
              <w:jc w:val="right"/>
              <w:rPr>
                <w:color w:val="auto"/>
                <w:szCs w:val="21"/>
                <w:highlight w:val="none"/>
              </w:rPr>
            </w:pPr>
            <w:r>
              <w:rPr>
                <w:color w:val="auto"/>
                <w:szCs w:val="21"/>
                <w:highlight w:val="none"/>
              </w:rPr>
              <w:t>1.4.2</w:t>
            </w:r>
          </w:p>
        </w:tc>
        <w:tc>
          <w:tcPr>
            <w:tcW w:w="1924" w:type="dxa"/>
            <w:noWrap w:val="0"/>
            <w:vAlign w:val="center"/>
          </w:tcPr>
          <w:p>
            <w:pPr>
              <w:pStyle w:val="37"/>
              <w:spacing w:line="268" w:lineRule="exact"/>
              <w:ind w:left="104" w:right="99"/>
              <w:jc w:val="center"/>
              <w:rPr>
                <w:color w:val="auto"/>
                <w:szCs w:val="21"/>
                <w:highlight w:val="none"/>
              </w:rPr>
            </w:pPr>
            <w:r>
              <w:rPr>
                <w:color w:val="auto"/>
                <w:szCs w:val="21"/>
                <w:highlight w:val="none"/>
              </w:rPr>
              <w:t>是否接受</w:t>
            </w:r>
          </w:p>
          <w:p>
            <w:pPr>
              <w:pStyle w:val="37"/>
              <w:spacing w:before="45"/>
              <w:ind w:left="104" w:right="99"/>
              <w:jc w:val="center"/>
              <w:rPr>
                <w:color w:val="auto"/>
                <w:szCs w:val="21"/>
                <w:highlight w:val="none"/>
              </w:rPr>
            </w:pPr>
            <w:r>
              <w:rPr>
                <w:color w:val="auto"/>
                <w:szCs w:val="21"/>
                <w:highlight w:val="none"/>
              </w:rPr>
              <w:t>联合体投标</w:t>
            </w:r>
          </w:p>
        </w:tc>
        <w:tc>
          <w:tcPr>
            <w:tcW w:w="6408" w:type="dxa"/>
            <w:noWrap w:val="0"/>
            <w:vAlign w:val="center"/>
          </w:tcPr>
          <w:p>
            <w:pPr>
              <w:pStyle w:val="37"/>
              <w:spacing w:before="155"/>
              <w:ind w:left="107" w:firstLine="630" w:firstLineChars="300"/>
              <w:rPr>
                <w:color w:val="auto"/>
                <w:szCs w:val="21"/>
                <w:highlight w:val="none"/>
                <w:lang w:val="en-US"/>
              </w:rPr>
            </w:pPr>
            <w:r>
              <w:rPr>
                <w:rFonts w:hint="eastAsia"/>
                <w:highlight w:val="none"/>
                <w:lang w:val="en-US"/>
              </w:rPr>
              <w:t>□</w:t>
            </w:r>
            <w:r>
              <w:rPr>
                <w:rFonts w:hint="eastAsia"/>
                <w:szCs w:val="21"/>
                <w:highlight w:val="none"/>
              </w:rPr>
              <w:t>接受</w:t>
            </w:r>
            <w:r>
              <w:rPr>
                <w:rFonts w:hint="eastAsia"/>
                <w:szCs w:val="21"/>
                <w:highlight w:val="none"/>
                <w:lang w:val="en-US"/>
              </w:rPr>
              <w:t xml:space="preserve">       </w:t>
            </w:r>
            <w:r>
              <w:rPr>
                <w:rFonts w:hint="eastAsia"/>
                <w:highlight w:val="none"/>
                <w:lang w:val="en-US"/>
              </w:rPr>
              <w:t>☑</w:t>
            </w:r>
            <w:r>
              <w:rPr>
                <w:rFonts w:hint="eastAsia"/>
                <w:szCs w:val="21"/>
                <w:highlight w:val="none"/>
                <w:lang w:val="en-US"/>
              </w:rPr>
              <w:t>不接受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959" w:type="dxa"/>
            <w:noWrap w:val="0"/>
            <w:vAlign w:val="center"/>
          </w:tcPr>
          <w:p>
            <w:pPr>
              <w:pStyle w:val="37"/>
              <w:ind w:right="206"/>
              <w:jc w:val="right"/>
              <w:rPr>
                <w:color w:val="auto"/>
                <w:szCs w:val="21"/>
                <w:highlight w:val="none"/>
              </w:rPr>
            </w:pPr>
            <w:r>
              <w:rPr>
                <w:color w:val="auto"/>
                <w:szCs w:val="21"/>
                <w:highlight w:val="none"/>
              </w:rPr>
              <w:t>1.4.6</w:t>
            </w:r>
          </w:p>
        </w:tc>
        <w:tc>
          <w:tcPr>
            <w:tcW w:w="1924" w:type="dxa"/>
            <w:noWrap w:val="0"/>
            <w:vAlign w:val="center"/>
          </w:tcPr>
          <w:p>
            <w:pPr>
              <w:pStyle w:val="37"/>
              <w:spacing w:before="2" w:line="278" w:lineRule="auto"/>
              <w:ind w:left="106" w:right="99"/>
              <w:jc w:val="center"/>
              <w:rPr>
                <w:color w:val="auto"/>
                <w:szCs w:val="21"/>
                <w:highlight w:val="none"/>
              </w:rPr>
            </w:pPr>
            <w:r>
              <w:rPr>
                <w:color w:val="auto"/>
                <w:szCs w:val="21"/>
                <w:highlight w:val="none"/>
              </w:rPr>
              <w:t>允许参投</w:t>
            </w:r>
            <w:r>
              <w:rPr>
                <w:rFonts w:hint="eastAsia"/>
                <w:color w:val="auto"/>
                <w:szCs w:val="21"/>
                <w:highlight w:val="none"/>
                <w:lang w:eastAsia="zh-CN"/>
              </w:rPr>
              <w:t>分段</w:t>
            </w:r>
            <w:r>
              <w:rPr>
                <w:color w:val="auto"/>
                <w:szCs w:val="21"/>
                <w:highlight w:val="none"/>
              </w:rPr>
              <w:t>数量及允许中标数量</w:t>
            </w:r>
          </w:p>
        </w:tc>
        <w:tc>
          <w:tcPr>
            <w:tcW w:w="6408" w:type="dxa"/>
            <w:noWrap w:val="0"/>
            <w:vAlign w:val="center"/>
          </w:tcPr>
          <w:p>
            <w:pPr>
              <w:pStyle w:val="37"/>
              <w:spacing w:before="1" w:line="314" w:lineRule="exact"/>
              <w:ind w:left="107" w:right="98"/>
              <w:rPr>
                <w:rFonts w:hint="eastAsia" w:eastAsia="宋体"/>
                <w:color w:val="auto"/>
                <w:szCs w:val="21"/>
                <w:highlight w:val="none"/>
                <w:lang w:eastAsia="zh-CN"/>
              </w:rPr>
            </w:pPr>
            <w:r>
              <w:rPr>
                <w:rFonts w:hint="eastAsia"/>
                <w:color w:val="auto"/>
                <w:szCs w:val="21"/>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noWrap w:val="0"/>
            <w:vAlign w:val="center"/>
          </w:tcPr>
          <w:p>
            <w:pPr>
              <w:pStyle w:val="37"/>
              <w:ind w:right="-111"/>
              <w:jc w:val="center"/>
              <w:rPr>
                <w:color w:val="auto"/>
                <w:szCs w:val="21"/>
                <w:highlight w:val="none"/>
                <w:lang w:val="en-US"/>
              </w:rPr>
            </w:pPr>
            <w:r>
              <w:rPr>
                <w:color w:val="auto"/>
                <w:szCs w:val="21"/>
                <w:highlight w:val="none"/>
              </w:rPr>
              <w:t>1.</w:t>
            </w:r>
            <w:r>
              <w:rPr>
                <w:rFonts w:hint="eastAsia"/>
                <w:color w:val="auto"/>
                <w:szCs w:val="21"/>
                <w:highlight w:val="none"/>
                <w:lang w:val="en-US"/>
              </w:rPr>
              <w:t>11</w:t>
            </w:r>
            <w:r>
              <w:rPr>
                <w:color w:val="auto"/>
                <w:szCs w:val="21"/>
                <w:highlight w:val="none"/>
              </w:rPr>
              <w:t>.</w:t>
            </w:r>
            <w:r>
              <w:rPr>
                <w:rFonts w:hint="eastAsia"/>
                <w:color w:val="auto"/>
                <w:szCs w:val="21"/>
                <w:highlight w:val="none"/>
                <w:lang w:val="en-US"/>
              </w:rPr>
              <w:t>1</w:t>
            </w:r>
          </w:p>
        </w:tc>
        <w:tc>
          <w:tcPr>
            <w:tcW w:w="1924" w:type="dxa"/>
            <w:noWrap w:val="0"/>
            <w:vAlign w:val="center"/>
          </w:tcPr>
          <w:p>
            <w:pPr>
              <w:pStyle w:val="37"/>
              <w:ind w:left="107" w:right="99"/>
              <w:jc w:val="center"/>
              <w:rPr>
                <w:color w:val="auto"/>
                <w:szCs w:val="21"/>
                <w:highlight w:val="none"/>
              </w:rPr>
            </w:pPr>
            <w:r>
              <w:rPr>
                <w:color w:val="auto"/>
                <w:szCs w:val="21"/>
                <w:highlight w:val="none"/>
              </w:rPr>
              <w:t>分包</w:t>
            </w:r>
          </w:p>
        </w:tc>
        <w:tc>
          <w:tcPr>
            <w:tcW w:w="6408" w:type="dxa"/>
            <w:noWrap w:val="0"/>
            <w:vAlign w:val="center"/>
          </w:tcPr>
          <w:p>
            <w:pPr>
              <w:pStyle w:val="37"/>
              <w:spacing w:line="360" w:lineRule="auto"/>
              <w:ind w:firstLine="420" w:firstLineChars="200"/>
              <w:rPr>
                <w:color w:val="auto"/>
                <w:szCs w:val="21"/>
                <w:highlight w:val="none"/>
              </w:rPr>
            </w:pPr>
            <w:r>
              <w:rPr>
                <w:rFonts w:hint="eastAsia"/>
                <w:w w:val="100"/>
                <w:sz w:val="21"/>
                <w:highlight w:val="none"/>
                <w:lang w:val="en-US" w:eastAsia="zh-CN"/>
              </w:rPr>
              <w:t xml:space="preserve">☑ </w:t>
            </w:r>
            <w:r>
              <w:rPr>
                <w:color w:val="auto"/>
                <w:szCs w:val="21"/>
                <w:highlight w:val="none"/>
              </w:rPr>
              <w:t>不允许。</w:t>
            </w:r>
          </w:p>
          <w:p>
            <w:pPr>
              <w:pStyle w:val="37"/>
              <w:ind w:firstLine="420" w:firstLineChars="200"/>
              <w:rPr>
                <w:color w:val="auto"/>
                <w:szCs w:val="21"/>
                <w:highlight w:val="none"/>
              </w:rPr>
            </w:pPr>
            <w:r>
              <w:rPr>
                <w:rFonts w:hint="eastAsia"/>
                <w:w w:val="100"/>
                <w:sz w:val="21"/>
                <w:highlight w:val="none"/>
                <w:lang w:val="en-US" w:eastAsia="zh-CN"/>
              </w:rPr>
              <w:t xml:space="preserve">□ </w:t>
            </w:r>
            <w:r>
              <w:rPr>
                <w:color w:val="auto"/>
                <w:szCs w:val="21"/>
                <w:highlight w:val="none"/>
              </w:rPr>
              <w:t>允许，允许分包的专项工程：非关键性工程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959" w:type="dxa"/>
            <w:noWrap w:val="0"/>
            <w:vAlign w:val="center"/>
          </w:tcPr>
          <w:p>
            <w:pPr>
              <w:pStyle w:val="37"/>
              <w:ind w:right="153"/>
              <w:jc w:val="right"/>
              <w:rPr>
                <w:color w:val="auto"/>
                <w:highlight w:val="none"/>
              </w:rPr>
            </w:pPr>
            <w:r>
              <w:rPr>
                <w:color w:val="auto"/>
                <w:highlight w:val="none"/>
              </w:rPr>
              <w:t>1.12.2</w:t>
            </w:r>
          </w:p>
        </w:tc>
        <w:tc>
          <w:tcPr>
            <w:tcW w:w="1924" w:type="dxa"/>
            <w:noWrap w:val="0"/>
            <w:vAlign w:val="center"/>
          </w:tcPr>
          <w:p>
            <w:pPr>
              <w:pStyle w:val="37"/>
              <w:ind w:left="104" w:right="99"/>
              <w:jc w:val="center"/>
              <w:rPr>
                <w:color w:val="auto"/>
                <w:highlight w:val="none"/>
              </w:rPr>
            </w:pPr>
            <w:r>
              <w:rPr>
                <w:color w:val="auto"/>
                <w:highlight w:val="none"/>
              </w:rPr>
              <w:t>重大偏差</w:t>
            </w:r>
          </w:p>
        </w:tc>
        <w:tc>
          <w:tcPr>
            <w:tcW w:w="6408" w:type="dxa"/>
            <w:noWrap w:val="0"/>
            <w:vAlign w:val="center"/>
          </w:tcPr>
          <w:p>
            <w:pPr>
              <w:pStyle w:val="37"/>
              <w:spacing w:line="264" w:lineRule="exact"/>
              <w:ind w:firstLine="210" w:firstLineChars="100"/>
              <w:jc w:val="left"/>
              <w:rPr>
                <w:color w:val="auto"/>
                <w:highlight w:val="none"/>
              </w:rPr>
            </w:pPr>
            <w:r>
              <w:rPr>
                <w:rFonts w:hint="eastAsia"/>
                <w:color w:val="auto"/>
                <w:highlight w:val="none"/>
              </w:rPr>
              <w:t>不允许重大偏离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959" w:type="dxa"/>
            <w:noWrap w:val="0"/>
            <w:vAlign w:val="center"/>
          </w:tcPr>
          <w:p>
            <w:pPr>
              <w:adjustRightInd w:val="0"/>
              <w:spacing w:line="360" w:lineRule="auto"/>
              <w:jc w:val="center"/>
              <w:rPr>
                <w:color w:val="auto"/>
                <w:highlight w:val="none"/>
              </w:rPr>
            </w:pPr>
            <w:r>
              <w:rPr>
                <w:rFonts w:ascii="宋体" w:hAnsi="宋体"/>
                <w:color w:val="auto"/>
                <w:szCs w:val="21"/>
                <w:highlight w:val="none"/>
              </w:rPr>
              <w:t>2.</w:t>
            </w:r>
            <w:r>
              <w:rPr>
                <w:rFonts w:hint="eastAsia" w:ascii="宋体" w:hAnsi="宋体"/>
                <w:color w:val="auto"/>
                <w:szCs w:val="21"/>
                <w:highlight w:val="none"/>
              </w:rPr>
              <w:t>1.</w:t>
            </w:r>
            <w:r>
              <w:rPr>
                <w:rFonts w:ascii="宋体" w:hAnsi="宋体"/>
                <w:color w:val="auto"/>
                <w:szCs w:val="21"/>
                <w:highlight w:val="none"/>
              </w:rPr>
              <w:t>1</w:t>
            </w:r>
          </w:p>
        </w:tc>
        <w:tc>
          <w:tcPr>
            <w:tcW w:w="1924" w:type="dxa"/>
            <w:noWrap w:val="0"/>
            <w:vAlign w:val="center"/>
          </w:tcPr>
          <w:p>
            <w:pPr>
              <w:adjustRightInd w:val="0"/>
              <w:spacing w:line="360" w:lineRule="auto"/>
              <w:jc w:val="center"/>
              <w:rPr>
                <w:rFonts w:ascii="宋体" w:hAnsi="宋体"/>
                <w:color w:val="auto"/>
                <w:szCs w:val="21"/>
                <w:highlight w:val="none"/>
              </w:rPr>
            </w:pPr>
            <w:r>
              <w:rPr>
                <w:rFonts w:ascii="宋体" w:hAnsi="宋体"/>
                <w:color w:val="auto"/>
                <w:szCs w:val="21"/>
                <w:highlight w:val="none"/>
              </w:rPr>
              <w:t>构成招标文件的</w:t>
            </w:r>
          </w:p>
          <w:p>
            <w:pPr>
              <w:adjustRightInd w:val="0"/>
              <w:spacing w:line="360" w:lineRule="auto"/>
              <w:jc w:val="center"/>
              <w:rPr>
                <w:color w:val="auto"/>
                <w:highlight w:val="none"/>
              </w:rPr>
            </w:pPr>
            <w:r>
              <w:rPr>
                <w:rFonts w:ascii="宋体" w:hAnsi="宋体"/>
                <w:color w:val="auto"/>
                <w:szCs w:val="21"/>
                <w:highlight w:val="none"/>
              </w:rPr>
              <w:t>其他材料</w:t>
            </w:r>
          </w:p>
        </w:tc>
        <w:tc>
          <w:tcPr>
            <w:tcW w:w="6408" w:type="dxa"/>
            <w:noWrap w:val="0"/>
            <w:vAlign w:val="center"/>
          </w:tcPr>
          <w:p>
            <w:pPr>
              <w:pStyle w:val="17"/>
              <w:adjustRightInd w:val="0"/>
              <w:spacing w:line="360" w:lineRule="auto"/>
              <w:ind w:firstLine="210" w:firstLineChars="100"/>
              <w:jc w:val="left"/>
              <w:rPr>
                <w:color w:val="auto"/>
                <w:highlight w:val="none"/>
              </w:rPr>
            </w:pPr>
            <w:r>
              <w:rPr>
                <w:rFonts w:ascii="Times New Roman" w:hAnsi="Times New Roman" w:cs="Courier New"/>
                <w:color w:val="auto"/>
                <w:highlight w:val="none"/>
              </w:rPr>
              <w:t>招标文件补遗书（如果有）、通知书（如果有）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noWrap w:val="0"/>
            <w:vAlign w:val="center"/>
          </w:tcPr>
          <w:p>
            <w:pPr>
              <w:pStyle w:val="37"/>
              <w:spacing w:before="1"/>
              <w:ind w:left="107" w:right="99"/>
              <w:jc w:val="center"/>
              <w:rPr>
                <w:color w:val="auto"/>
                <w:highlight w:val="none"/>
              </w:rPr>
            </w:pPr>
            <w:r>
              <w:rPr>
                <w:color w:val="auto"/>
                <w:highlight w:val="none"/>
              </w:rPr>
              <w:t>2.2.3</w:t>
            </w:r>
          </w:p>
        </w:tc>
        <w:tc>
          <w:tcPr>
            <w:tcW w:w="1924" w:type="dxa"/>
            <w:noWrap w:val="0"/>
            <w:vAlign w:val="center"/>
          </w:tcPr>
          <w:p>
            <w:pPr>
              <w:pStyle w:val="37"/>
              <w:spacing w:before="77"/>
              <w:ind w:left="107" w:right="99"/>
              <w:jc w:val="center"/>
              <w:rPr>
                <w:color w:val="auto"/>
                <w:highlight w:val="none"/>
              </w:rPr>
            </w:pPr>
            <w:r>
              <w:rPr>
                <w:color w:val="auto"/>
                <w:highlight w:val="none"/>
              </w:rPr>
              <w:t>投标人确认收到</w:t>
            </w:r>
          </w:p>
          <w:p>
            <w:pPr>
              <w:pStyle w:val="37"/>
              <w:spacing w:before="91" w:line="263" w:lineRule="exact"/>
              <w:ind w:left="107" w:right="99"/>
              <w:jc w:val="center"/>
              <w:rPr>
                <w:color w:val="auto"/>
                <w:highlight w:val="none"/>
              </w:rPr>
            </w:pPr>
            <w:r>
              <w:rPr>
                <w:color w:val="auto"/>
                <w:highlight w:val="none"/>
              </w:rPr>
              <w:t>招标文件澄清</w:t>
            </w:r>
          </w:p>
        </w:tc>
        <w:tc>
          <w:tcPr>
            <w:tcW w:w="6408" w:type="dxa"/>
            <w:noWrap w:val="0"/>
            <w:vAlign w:val="center"/>
          </w:tcPr>
          <w:p>
            <w:pPr>
              <w:pStyle w:val="37"/>
              <w:spacing w:line="263" w:lineRule="exact"/>
              <w:ind w:firstLine="210" w:firstLineChars="100"/>
              <w:rPr>
                <w:color w:val="auto"/>
                <w:highlight w:val="none"/>
              </w:rPr>
            </w:pPr>
            <w:r>
              <w:rPr>
                <w:rFonts w:hint="eastAsia"/>
                <w:color w:val="auto"/>
                <w:highlight w:val="none"/>
              </w:rPr>
              <w:t>由投标人从招标人处领取，不要求投标人向招标人发出确认函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noWrap w:val="0"/>
            <w:vAlign w:val="center"/>
          </w:tcPr>
          <w:p>
            <w:pPr>
              <w:pStyle w:val="37"/>
              <w:spacing w:before="1"/>
              <w:ind w:left="216"/>
              <w:rPr>
                <w:color w:val="auto"/>
                <w:highlight w:val="none"/>
              </w:rPr>
            </w:pPr>
            <w:r>
              <w:rPr>
                <w:color w:val="auto"/>
                <w:highlight w:val="none"/>
              </w:rPr>
              <w:t>3.1.1</w:t>
            </w:r>
          </w:p>
        </w:tc>
        <w:tc>
          <w:tcPr>
            <w:tcW w:w="1924" w:type="dxa"/>
            <w:noWrap w:val="0"/>
            <w:vAlign w:val="center"/>
          </w:tcPr>
          <w:p>
            <w:pPr>
              <w:pStyle w:val="37"/>
              <w:spacing w:before="68"/>
              <w:ind w:left="107" w:right="99"/>
              <w:jc w:val="center"/>
              <w:rPr>
                <w:color w:val="auto"/>
                <w:highlight w:val="none"/>
              </w:rPr>
            </w:pPr>
            <w:r>
              <w:rPr>
                <w:color w:val="auto"/>
                <w:highlight w:val="none"/>
              </w:rPr>
              <w:t>投标文件密封形</w:t>
            </w:r>
          </w:p>
          <w:p>
            <w:pPr>
              <w:pStyle w:val="37"/>
              <w:spacing w:before="91" w:line="262" w:lineRule="exact"/>
              <w:ind w:left="5"/>
              <w:jc w:val="center"/>
              <w:rPr>
                <w:color w:val="auto"/>
                <w:highlight w:val="none"/>
              </w:rPr>
            </w:pPr>
            <w:r>
              <w:rPr>
                <w:color w:val="auto"/>
                <w:highlight w:val="none"/>
              </w:rPr>
              <w:t>式</w:t>
            </w:r>
          </w:p>
        </w:tc>
        <w:tc>
          <w:tcPr>
            <w:tcW w:w="6408" w:type="dxa"/>
            <w:noWrap w:val="0"/>
            <w:vAlign w:val="center"/>
          </w:tcPr>
          <w:p>
            <w:pPr>
              <w:pStyle w:val="37"/>
              <w:ind w:firstLine="420" w:firstLineChars="200"/>
              <w:rPr>
                <w:color w:val="auto"/>
                <w:highlight w:val="none"/>
              </w:rPr>
            </w:pPr>
            <w:r>
              <w:rPr>
                <w:rFonts w:hint="eastAsia"/>
                <w:w w:val="100"/>
                <w:sz w:val="21"/>
                <w:highlight w:val="none"/>
                <w:lang w:val="en-US" w:eastAsia="zh-CN"/>
              </w:rPr>
              <w:t>□</w:t>
            </w:r>
            <w:r>
              <w:rPr>
                <w:rFonts w:hint="eastAsia"/>
                <w:color w:val="auto"/>
                <w:highlight w:val="none"/>
                <w:lang w:val="en-US"/>
              </w:rPr>
              <w:t xml:space="preserve">  双信封</w:t>
            </w:r>
          </w:p>
          <w:p>
            <w:pPr>
              <w:pStyle w:val="37"/>
              <w:spacing w:before="91" w:line="263" w:lineRule="exact"/>
              <w:ind w:firstLine="420" w:firstLineChars="200"/>
              <w:rPr>
                <w:color w:val="auto"/>
                <w:highlight w:val="none"/>
                <w:lang w:val="en-US"/>
              </w:rPr>
            </w:pPr>
            <w:r>
              <w:rPr>
                <w:rFonts w:hint="eastAsia"/>
                <w:w w:val="100"/>
                <w:sz w:val="21"/>
                <w:highlight w:val="none"/>
                <w:lang w:val="en-US" w:eastAsia="zh-CN"/>
              </w:rPr>
              <w:t>☑</w:t>
            </w:r>
            <w:r>
              <w:rPr>
                <w:rFonts w:hint="eastAsia"/>
                <w:color w:val="auto"/>
                <w:szCs w:val="21"/>
                <w:highlight w:val="none"/>
                <w:lang w:val="en-US"/>
              </w:rPr>
              <w:t xml:space="preserve"> </w:t>
            </w:r>
            <w:r>
              <w:rPr>
                <w:rFonts w:hint="eastAsia"/>
                <w:color w:val="auto"/>
                <w:highlight w:val="none"/>
                <w:lang w:val="en-US"/>
              </w:rPr>
              <w:t xml:space="preserve"> 单信封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7" w:hRule="atLeast"/>
          <w:jc w:val="center"/>
        </w:trPr>
        <w:tc>
          <w:tcPr>
            <w:tcW w:w="959" w:type="dxa"/>
            <w:noWrap w:val="0"/>
            <w:vAlign w:val="center"/>
          </w:tcPr>
          <w:p>
            <w:pPr>
              <w:pStyle w:val="37"/>
              <w:ind w:left="107" w:right="99"/>
              <w:jc w:val="center"/>
              <w:rPr>
                <w:color w:val="auto"/>
                <w:highlight w:val="none"/>
              </w:rPr>
            </w:pPr>
            <w:r>
              <w:rPr>
                <w:color w:val="auto"/>
                <w:highlight w:val="none"/>
              </w:rPr>
              <w:t>3.1.1</w:t>
            </w:r>
          </w:p>
        </w:tc>
        <w:tc>
          <w:tcPr>
            <w:tcW w:w="1924" w:type="dxa"/>
            <w:noWrap w:val="0"/>
            <w:vAlign w:val="center"/>
          </w:tcPr>
          <w:p>
            <w:pPr>
              <w:pStyle w:val="37"/>
              <w:spacing w:before="77"/>
              <w:ind w:left="107" w:right="99"/>
              <w:jc w:val="center"/>
              <w:rPr>
                <w:color w:val="auto"/>
                <w:highlight w:val="none"/>
              </w:rPr>
            </w:pPr>
            <w:r>
              <w:rPr>
                <w:color w:val="auto"/>
                <w:highlight w:val="none"/>
              </w:rPr>
              <w:t>投标文件的组成</w:t>
            </w:r>
          </w:p>
        </w:tc>
        <w:tc>
          <w:tcPr>
            <w:tcW w:w="6408" w:type="dxa"/>
            <w:noWrap w:val="0"/>
            <w:vAlign w:val="center"/>
          </w:tcPr>
          <w:p>
            <w:pPr>
              <w:pStyle w:val="37"/>
              <w:spacing w:before="77"/>
              <w:ind w:left="107" w:right="99"/>
              <w:jc w:val="left"/>
              <w:rPr>
                <w:color w:val="auto"/>
                <w:highlight w:val="none"/>
              </w:rPr>
            </w:pPr>
            <w:r>
              <w:rPr>
                <w:color w:val="auto"/>
                <w:highlight w:val="none"/>
              </w:rPr>
              <w:t>投标文件应包括下列内容：</w:t>
            </w:r>
          </w:p>
          <w:p>
            <w:pPr>
              <w:pStyle w:val="37"/>
              <w:spacing w:before="77" w:line="240" w:lineRule="auto"/>
              <w:ind w:left="107" w:right="99"/>
              <w:jc w:val="left"/>
              <w:rPr>
                <w:color w:val="auto"/>
                <w:highlight w:val="none"/>
              </w:rPr>
            </w:pPr>
            <w:r>
              <w:rPr>
                <w:rFonts w:hint="default"/>
                <w:color w:val="auto"/>
                <w:highlight w:val="none"/>
                <w:lang w:val="en-US"/>
              </w:rPr>
              <w:t>1、</w:t>
            </w:r>
            <w:r>
              <w:rPr>
                <w:rFonts w:hint="eastAsia"/>
                <w:color w:val="auto"/>
                <w:highlight w:val="none"/>
              </w:rPr>
              <w:t>投标函</w:t>
            </w:r>
          </w:p>
          <w:p>
            <w:pPr>
              <w:pStyle w:val="37"/>
              <w:spacing w:before="77" w:line="240" w:lineRule="auto"/>
              <w:ind w:left="107" w:right="99"/>
              <w:jc w:val="left"/>
              <w:rPr>
                <w:color w:val="auto"/>
                <w:highlight w:val="none"/>
              </w:rPr>
            </w:pPr>
            <w:r>
              <w:rPr>
                <w:rFonts w:hint="default"/>
                <w:color w:val="auto"/>
                <w:highlight w:val="none"/>
                <w:lang w:val="en-US"/>
              </w:rPr>
              <w:t>2、</w:t>
            </w:r>
            <w:r>
              <w:rPr>
                <w:rFonts w:hint="eastAsia"/>
                <w:color w:val="auto"/>
                <w:highlight w:val="none"/>
              </w:rPr>
              <w:t>授权委托书或法定代表人身份证明</w:t>
            </w:r>
          </w:p>
          <w:p>
            <w:pPr>
              <w:pStyle w:val="37"/>
              <w:spacing w:before="77" w:line="240" w:lineRule="auto"/>
              <w:ind w:left="107" w:right="99"/>
              <w:jc w:val="left"/>
              <w:rPr>
                <w:color w:val="auto"/>
                <w:highlight w:val="none"/>
              </w:rPr>
            </w:pPr>
            <w:r>
              <w:rPr>
                <w:rFonts w:hint="default"/>
                <w:color w:val="auto"/>
                <w:highlight w:val="none"/>
                <w:lang w:val="en-US"/>
              </w:rPr>
              <w:t>3、</w:t>
            </w:r>
            <w:r>
              <w:rPr>
                <w:rFonts w:hint="eastAsia"/>
                <w:color w:val="auto"/>
                <w:highlight w:val="none"/>
              </w:rPr>
              <w:t>投标保证金</w:t>
            </w:r>
          </w:p>
          <w:p>
            <w:pPr>
              <w:pStyle w:val="37"/>
              <w:spacing w:before="77" w:line="240" w:lineRule="auto"/>
              <w:ind w:left="107" w:right="99"/>
              <w:jc w:val="left"/>
              <w:rPr>
                <w:color w:val="auto"/>
                <w:highlight w:val="none"/>
              </w:rPr>
            </w:pPr>
            <w:r>
              <w:rPr>
                <w:rFonts w:hint="default"/>
                <w:color w:val="auto"/>
                <w:highlight w:val="none"/>
                <w:lang w:val="en-US"/>
              </w:rPr>
              <w:t>4、</w:t>
            </w:r>
            <w:r>
              <w:rPr>
                <w:rFonts w:hint="eastAsia"/>
                <w:color w:val="auto"/>
                <w:highlight w:val="none"/>
              </w:rPr>
              <w:t>承诺书</w:t>
            </w:r>
            <w:r>
              <w:rPr>
                <w:rFonts w:hint="eastAsia"/>
                <w:color w:val="auto"/>
                <w:highlight w:val="none"/>
                <w:lang w:val="en-US" w:eastAsia="zh-CN"/>
              </w:rPr>
              <w:t>、企业信用加分申请书（若有）</w:t>
            </w:r>
          </w:p>
          <w:p>
            <w:pPr>
              <w:pStyle w:val="37"/>
              <w:spacing w:before="77" w:line="240" w:lineRule="auto"/>
              <w:ind w:left="107" w:right="99"/>
              <w:jc w:val="left"/>
              <w:rPr>
                <w:color w:val="auto"/>
                <w:highlight w:val="none"/>
              </w:rPr>
            </w:pPr>
            <w:r>
              <w:rPr>
                <w:rFonts w:hint="default"/>
                <w:color w:val="auto"/>
                <w:highlight w:val="none"/>
                <w:lang w:val="en-US"/>
              </w:rPr>
              <w:t>5、</w:t>
            </w:r>
            <w:r>
              <w:rPr>
                <w:rFonts w:hint="eastAsia"/>
                <w:color w:val="auto"/>
                <w:highlight w:val="none"/>
              </w:rPr>
              <w:t>施工组织设计</w:t>
            </w:r>
          </w:p>
          <w:p>
            <w:pPr>
              <w:pStyle w:val="37"/>
              <w:spacing w:before="77" w:line="240" w:lineRule="auto"/>
              <w:ind w:left="107" w:right="99"/>
              <w:jc w:val="left"/>
              <w:rPr>
                <w:rFonts w:hint="default"/>
                <w:color w:val="auto"/>
                <w:w w:val="100"/>
                <w:sz w:val="21"/>
                <w:highlight w:val="none"/>
              </w:rPr>
            </w:pPr>
            <w:r>
              <w:rPr>
                <w:rFonts w:hint="default"/>
                <w:color w:val="auto"/>
                <w:w w:val="100"/>
                <w:sz w:val="21"/>
                <w:highlight w:val="none"/>
                <w:lang w:val="en-US" w:eastAsia="zh-CN"/>
              </w:rPr>
              <w:t>6、</w:t>
            </w:r>
            <w:r>
              <w:rPr>
                <w:rFonts w:hint="default"/>
                <w:color w:val="auto"/>
                <w:w w:val="100"/>
                <w:sz w:val="21"/>
                <w:highlight w:val="none"/>
              </w:rPr>
              <w:t>拟投入本项目主要管理人员</w:t>
            </w:r>
          </w:p>
          <w:p>
            <w:pPr>
              <w:pStyle w:val="37"/>
              <w:spacing w:before="77" w:line="240" w:lineRule="auto"/>
              <w:ind w:left="107" w:right="99"/>
              <w:jc w:val="left"/>
              <w:rPr>
                <w:rFonts w:hint="default" w:eastAsia="宋体"/>
                <w:color w:val="auto"/>
                <w:w w:val="100"/>
                <w:sz w:val="21"/>
                <w:highlight w:val="none"/>
                <w:lang w:val="en-US" w:eastAsia="zh-CN"/>
              </w:rPr>
            </w:pPr>
            <w:r>
              <w:rPr>
                <w:rFonts w:hint="default"/>
                <w:color w:val="auto"/>
                <w:w w:val="100"/>
                <w:sz w:val="21"/>
                <w:highlight w:val="none"/>
                <w:lang w:val="en-US" w:eastAsia="zh-CN"/>
              </w:rPr>
              <w:t>7、拟</w:t>
            </w:r>
            <w:r>
              <w:rPr>
                <w:rFonts w:hint="default"/>
                <w:color w:val="auto"/>
                <w:w w:val="100"/>
                <w:sz w:val="21"/>
                <w:highlight w:val="none"/>
              </w:rPr>
              <w:t>投入设备表</w:t>
            </w:r>
          </w:p>
          <w:p>
            <w:pPr>
              <w:pStyle w:val="37"/>
              <w:spacing w:before="77" w:line="240" w:lineRule="auto"/>
              <w:ind w:left="107" w:right="99"/>
              <w:jc w:val="left"/>
              <w:rPr>
                <w:rFonts w:hint="default"/>
                <w:color w:val="auto"/>
                <w:w w:val="100"/>
                <w:sz w:val="21"/>
                <w:highlight w:val="none"/>
              </w:rPr>
            </w:pPr>
            <w:r>
              <w:rPr>
                <w:rFonts w:hint="default"/>
                <w:color w:val="auto"/>
                <w:w w:val="100"/>
                <w:sz w:val="21"/>
                <w:highlight w:val="none"/>
                <w:lang w:val="en-US" w:eastAsia="zh-CN"/>
              </w:rPr>
              <w:t>8、</w:t>
            </w:r>
            <w:r>
              <w:rPr>
                <w:rFonts w:hint="default"/>
                <w:color w:val="auto"/>
                <w:w w:val="100"/>
                <w:sz w:val="21"/>
                <w:highlight w:val="none"/>
              </w:rPr>
              <w:t>投标人基本情况表</w:t>
            </w:r>
          </w:p>
          <w:p>
            <w:pPr>
              <w:pStyle w:val="37"/>
              <w:spacing w:before="77" w:line="240" w:lineRule="auto"/>
              <w:ind w:left="107" w:right="99"/>
              <w:jc w:val="left"/>
              <w:rPr>
                <w:rFonts w:hint="default"/>
                <w:color w:val="auto"/>
                <w:w w:val="100"/>
                <w:sz w:val="21"/>
                <w:highlight w:val="none"/>
              </w:rPr>
            </w:pPr>
            <w:r>
              <w:rPr>
                <w:rFonts w:hint="default"/>
                <w:color w:val="auto"/>
                <w:w w:val="100"/>
                <w:sz w:val="21"/>
                <w:highlight w:val="none"/>
                <w:lang w:val="en-US" w:eastAsia="zh-CN"/>
              </w:rPr>
              <w:t>9、</w:t>
            </w:r>
            <w:r>
              <w:rPr>
                <w:rFonts w:hint="default"/>
                <w:color w:val="auto"/>
                <w:w w:val="100"/>
                <w:sz w:val="21"/>
                <w:highlight w:val="none"/>
              </w:rPr>
              <w:t>近年完成的类似项目情况表</w:t>
            </w:r>
          </w:p>
          <w:p>
            <w:pPr>
              <w:pStyle w:val="37"/>
              <w:spacing w:before="77" w:line="240" w:lineRule="auto"/>
              <w:ind w:left="107" w:right="99"/>
              <w:jc w:val="left"/>
              <w:rPr>
                <w:color w:val="auto"/>
                <w:highlight w:val="none"/>
              </w:rPr>
            </w:pPr>
            <w:r>
              <w:rPr>
                <w:rFonts w:hint="default"/>
                <w:color w:val="auto"/>
                <w:w w:val="100"/>
                <w:sz w:val="21"/>
                <w:highlight w:val="none"/>
                <w:lang w:val="en-US" w:eastAsia="zh-CN"/>
              </w:rPr>
              <w:t>10、已标价工程量清单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trPr>
        <w:tc>
          <w:tcPr>
            <w:tcW w:w="959" w:type="dxa"/>
            <w:noWrap w:val="0"/>
            <w:vAlign w:val="center"/>
          </w:tcPr>
          <w:p>
            <w:pPr>
              <w:pStyle w:val="37"/>
              <w:ind w:left="107" w:right="99"/>
              <w:jc w:val="center"/>
              <w:rPr>
                <w:color w:val="auto"/>
                <w:highlight w:val="none"/>
              </w:rPr>
            </w:pPr>
            <w:r>
              <w:rPr>
                <w:color w:val="auto"/>
                <w:highlight w:val="none"/>
              </w:rPr>
              <w:t>3.2.1</w:t>
            </w:r>
          </w:p>
        </w:tc>
        <w:tc>
          <w:tcPr>
            <w:tcW w:w="1924" w:type="dxa"/>
            <w:noWrap w:val="0"/>
            <w:vAlign w:val="center"/>
          </w:tcPr>
          <w:p>
            <w:pPr>
              <w:pStyle w:val="37"/>
              <w:ind w:left="6" w:hanging="6"/>
              <w:jc w:val="center"/>
              <w:rPr>
                <w:color w:val="auto"/>
                <w:highlight w:val="none"/>
              </w:rPr>
            </w:pPr>
            <w:r>
              <w:rPr>
                <w:color w:val="auto"/>
                <w:highlight w:val="none"/>
              </w:rPr>
              <w:t>工程量清单的填写方式</w:t>
            </w:r>
          </w:p>
        </w:tc>
        <w:tc>
          <w:tcPr>
            <w:tcW w:w="6408" w:type="dxa"/>
            <w:noWrap w:val="0"/>
            <w:vAlign w:val="center"/>
          </w:tcPr>
          <w:p>
            <w:pPr>
              <w:pStyle w:val="37"/>
              <w:spacing w:before="91" w:line="260" w:lineRule="exact"/>
              <w:ind w:left="107"/>
              <w:rPr>
                <w:color w:val="auto"/>
                <w:highlight w:val="none"/>
              </w:rPr>
            </w:pPr>
            <w:r>
              <w:rPr>
                <w:color w:val="auto"/>
                <w:highlight w:val="none"/>
              </w:rPr>
              <w:t>投标人按照招标人提供的书面工程量清单填写工程量清单</w:t>
            </w:r>
          </w:p>
          <w:p>
            <w:pPr>
              <w:pStyle w:val="37"/>
              <w:spacing w:before="91" w:line="260" w:lineRule="exact"/>
              <w:ind w:left="107"/>
              <w:rPr>
                <w:rFonts w:hint="eastAsia" w:eastAsia="宋体"/>
                <w:color w:val="auto"/>
                <w:highlight w:val="none"/>
                <w:lang w:eastAsia="zh-CN"/>
              </w:rPr>
            </w:pPr>
            <w:r>
              <w:rPr>
                <w:rFonts w:hint="eastAsia"/>
                <w:color w:val="auto"/>
                <w:highlight w:val="none"/>
              </w:rPr>
              <w:t>增值税税金采用</w:t>
            </w:r>
            <w:r>
              <w:rPr>
                <w:rFonts w:hint="eastAsia"/>
                <w:color w:val="auto"/>
                <w:highlight w:val="none"/>
                <w:lang w:eastAsia="zh-CN"/>
              </w:rPr>
              <w:t>一般计税法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trPr>
        <w:tc>
          <w:tcPr>
            <w:tcW w:w="959" w:type="dxa"/>
            <w:noWrap w:val="0"/>
            <w:vAlign w:val="center"/>
          </w:tcPr>
          <w:p>
            <w:pPr>
              <w:pStyle w:val="37"/>
              <w:ind w:left="216"/>
              <w:rPr>
                <w:color w:val="auto"/>
                <w:highlight w:val="none"/>
              </w:rPr>
            </w:pPr>
            <w:r>
              <w:rPr>
                <w:color w:val="auto"/>
                <w:highlight w:val="none"/>
              </w:rPr>
              <w:t>3.2.3</w:t>
            </w:r>
          </w:p>
        </w:tc>
        <w:tc>
          <w:tcPr>
            <w:tcW w:w="1924" w:type="dxa"/>
            <w:noWrap w:val="0"/>
            <w:vAlign w:val="center"/>
          </w:tcPr>
          <w:p>
            <w:pPr>
              <w:pStyle w:val="37"/>
              <w:ind w:left="500"/>
              <w:rPr>
                <w:color w:val="auto"/>
                <w:highlight w:val="none"/>
              </w:rPr>
            </w:pPr>
            <w:r>
              <w:rPr>
                <w:color w:val="auto"/>
                <w:highlight w:val="none"/>
              </w:rPr>
              <w:t>报价方式</w:t>
            </w:r>
          </w:p>
        </w:tc>
        <w:tc>
          <w:tcPr>
            <w:tcW w:w="6408" w:type="dxa"/>
            <w:noWrap w:val="0"/>
            <w:vAlign w:val="center"/>
          </w:tcPr>
          <w:p>
            <w:pPr>
              <w:pStyle w:val="37"/>
              <w:shd w:val="clear"/>
              <w:ind w:firstLine="210" w:firstLineChars="100"/>
              <w:rPr>
                <w:highlight w:val="none"/>
              </w:rPr>
            </w:pPr>
            <w:r>
              <w:rPr>
                <w:rFonts w:hint="eastAsia"/>
                <w:highlight w:val="none"/>
                <w:lang w:val="en-US"/>
              </w:rPr>
              <w:t>☑单价</w:t>
            </w:r>
          </w:p>
          <w:p>
            <w:pPr>
              <w:pStyle w:val="37"/>
              <w:shd w:val="clear"/>
              <w:spacing w:before="91" w:line="263" w:lineRule="exact"/>
              <w:ind w:firstLine="210" w:firstLineChars="100"/>
              <w:rPr>
                <w:color w:val="auto"/>
                <w:highlight w:val="none"/>
                <w:lang w:val="en-US"/>
              </w:rPr>
            </w:pPr>
            <w:r>
              <w:rPr>
                <w:rFonts w:hint="eastAsia"/>
                <w:highlight w:val="none"/>
                <w:lang w:val="en-US"/>
              </w:rPr>
              <w:t>□总价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jc w:val="center"/>
        </w:trPr>
        <w:tc>
          <w:tcPr>
            <w:tcW w:w="959" w:type="dxa"/>
            <w:noWrap w:val="0"/>
            <w:vAlign w:val="center"/>
          </w:tcPr>
          <w:p>
            <w:pPr>
              <w:pStyle w:val="37"/>
              <w:ind w:left="216"/>
              <w:rPr>
                <w:color w:val="auto"/>
                <w:highlight w:val="none"/>
              </w:rPr>
            </w:pPr>
            <w:r>
              <w:rPr>
                <w:color w:val="auto"/>
                <w:highlight w:val="none"/>
              </w:rPr>
              <w:t>3.2.6</w:t>
            </w:r>
          </w:p>
        </w:tc>
        <w:tc>
          <w:tcPr>
            <w:tcW w:w="1924" w:type="dxa"/>
            <w:noWrap w:val="0"/>
            <w:vAlign w:val="center"/>
          </w:tcPr>
          <w:p>
            <w:pPr>
              <w:pStyle w:val="37"/>
              <w:ind w:left="186"/>
              <w:rPr>
                <w:color w:val="auto"/>
                <w:highlight w:val="none"/>
              </w:rPr>
            </w:pPr>
            <w:r>
              <w:rPr>
                <w:color w:val="auto"/>
                <w:highlight w:val="none"/>
              </w:rPr>
              <w:t>是否接受调价函</w:t>
            </w:r>
          </w:p>
        </w:tc>
        <w:tc>
          <w:tcPr>
            <w:tcW w:w="6408" w:type="dxa"/>
            <w:noWrap w:val="0"/>
            <w:vAlign w:val="center"/>
          </w:tcPr>
          <w:p>
            <w:pPr>
              <w:pStyle w:val="37"/>
              <w:shd w:val="clear"/>
              <w:ind w:firstLine="210" w:firstLineChars="100"/>
              <w:rPr>
                <w:highlight w:val="none"/>
              </w:rPr>
            </w:pPr>
            <w:r>
              <w:rPr>
                <w:rFonts w:hint="eastAsia"/>
                <w:highlight w:val="none"/>
                <w:lang w:val="en-US"/>
              </w:rPr>
              <w:t>□是</w:t>
            </w:r>
          </w:p>
          <w:p>
            <w:pPr>
              <w:pStyle w:val="37"/>
              <w:shd w:val="clear"/>
              <w:spacing w:before="91" w:line="263" w:lineRule="exact"/>
              <w:ind w:firstLine="210" w:firstLineChars="100"/>
              <w:rPr>
                <w:color w:val="auto"/>
                <w:highlight w:val="none"/>
              </w:rPr>
            </w:pPr>
            <w:r>
              <w:rPr>
                <w:rFonts w:hint="eastAsia"/>
                <w:highlight w:val="none"/>
                <w:lang w:val="en-US"/>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trPr>
        <w:tc>
          <w:tcPr>
            <w:tcW w:w="959" w:type="dxa"/>
            <w:noWrap w:val="0"/>
            <w:vAlign w:val="center"/>
          </w:tcPr>
          <w:p>
            <w:pPr>
              <w:pStyle w:val="37"/>
              <w:spacing w:before="143"/>
              <w:ind w:left="107" w:right="99"/>
              <w:jc w:val="center"/>
              <w:rPr>
                <w:color w:val="auto"/>
                <w:highlight w:val="none"/>
              </w:rPr>
            </w:pPr>
            <w:r>
              <w:rPr>
                <w:color w:val="auto"/>
                <w:highlight w:val="none"/>
              </w:rPr>
              <w:t>3.2.7</w:t>
            </w:r>
          </w:p>
        </w:tc>
        <w:tc>
          <w:tcPr>
            <w:tcW w:w="1924" w:type="dxa"/>
            <w:noWrap w:val="0"/>
            <w:vAlign w:val="center"/>
          </w:tcPr>
          <w:p>
            <w:pPr>
              <w:pStyle w:val="37"/>
              <w:spacing w:before="143"/>
              <w:ind w:left="500"/>
              <w:rPr>
                <w:color w:val="auto"/>
                <w:highlight w:val="none"/>
              </w:rPr>
            </w:pPr>
            <w:r>
              <w:rPr>
                <w:color w:val="auto"/>
                <w:highlight w:val="none"/>
              </w:rPr>
              <w:t>价格调整</w:t>
            </w:r>
          </w:p>
        </w:tc>
        <w:tc>
          <w:tcPr>
            <w:tcW w:w="6408" w:type="dxa"/>
            <w:noWrap w:val="0"/>
            <w:vAlign w:val="center"/>
          </w:tcPr>
          <w:p>
            <w:pPr>
              <w:pStyle w:val="37"/>
              <w:tabs>
                <w:tab w:val="left" w:pos="275"/>
              </w:tabs>
              <w:spacing w:before="143"/>
              <w:ind w:firstLine="210" w:firstLineChars="100"/>
              <w:rPr>
                <w:color w:val="auto"/>
                <w:highlight w:val="none"/>
              </w:rPr>
            </w:pPr>
            <w:r>
              <w:rPr>
                <w:rFonts w:hint="eastAsia"/>
                <w:w w:val="100"/>
                <w:sz w:val="21"/>
                <w:highlight w:val="none"/>
                <w:lang w:val="en-US" w:eastAsia="zh-CN"/>
              </w:rPr>
              <w:t>□</w:t>
            </w:r>
            <w:r>
              <w:rPr>
                <w:rFonts w:hint="eastAsia"/>
                <w:color w:val="auto"/>
                <w:highlight w:val="none"/>
              </w:rPr>
              <w:t>接受</w:t>
            </w:r>
          </w:p>
          <w:p>
            <w:pPr>
              <w:pStyle w:val="37"/>
              <w:spacing w:before="143"/>
              <w:ind w:firstLine="210" w:firstLineChars="100"/>
              <w:rPr>
                <w:color w:val="auto"/>
                <w:highlight w:val="none"/>
              </w:rPr>
            </w:pPr>
            <w:r>
              <w:rPr>
                <w:rFonts w:hint="eastAsia"/>
                <w:w w:val="100"/>
                <w:sz w:val="21"/>
                <w:highlight w:val="none"/>
                <w:lang w:val="en-US" w:eastAsia="zh-CN"/>
              </w:rPr>
              <w:t>☑</w:t>
            </w:r>
            <w:r>
              <w:rPr>
                <w:rFonts w:hint="eastAsia"/>
                <w:color w:val="auto"/>
                <w:highlight w:val="none"/>
              </w:rPr>
              <w:t>不接受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jc w:val="center"/>
        </w:trPr>
        <w:tc>
          <w:tcPr>
            <w:tcW w:w="959" w:type="dxa"/>
            <w:noWrap w:val="0"/>
            <w:vAlign w:val="center"/>
          </w:tcPr>
          <w:p>
            <w:pPr>
              <w:pStyle w:val="37"/>
              <w:jc w:val="center"/>
              <w:rPr>
                <w:color w:val="auto"/>
                <w:highlight w:val="none"/>
              </w:rPr>
            </w:pPr>
            <w:r>
              <w:rPr>
                <w:color w:val="auto"/>
                <w:highlight w:val="none"/>
              </w:rPr>
              <w:t>3.2.8</w:t>
            </w:r>
          </w:p>
        </w:tc>
        <w:tc>
          <w:tcPr>
            <w:tcW w:w="1924" w:type="dxa"/>
            <w:noWrap w:val="0"/>
            <w:vAlign w:val="center"/>
          </w:tcPr>
          <w:p>
            <w:pPr>
              <w:pStyle w:val="37"/>
              <w:jc w:val="center"/>
              <w:rPr>
                <w:color w:val="auto"/>
                <w:highlight w:val="none"/>
              </w:rPr>
            </w:pPr>
            <w:r>
              <w:rPr>
                <w:color w:val="auto"/>
                <w:highlight w:val="none"/>
              </w:rPr>
              <w:t>最高投标限价</w:t>
            </w:r>
          </w:p>
        </w:tc>
        <w:tc>
          <w:tcPr>
            <w:tcW w:w="6408" w:type="dxa"/>
            <w:noWrap w:val="0"/>
            <w:vAlign w:val="center"/>
          </w:tcPr>
          <w:p>
            <w:pPr>
              <w:pStyle w:val="37"/>
              <w:ind w:firstLine="210" w:firstLineChars="100"/>
              <w:rPr>
                <w:color w:val="auto"/>
                <w:highlight w:val="none"/>
              </w:rPr>
            </w:pPr>
            <w:r>
              <w:rPr>
                <w:rFonts w:hint="eastAsia"/>
                <w:w w:val="100"/>
                <w:sz w:val="21"/>
                <w:highlight w:val="none"/>
                <w:lang w:val="en-US" w:eastAsia="zh-CN"/>
              </w:rPr>
              <w:t>□</w:t>
            </w:r>
            <w:r>
              <w:rPr>
                <w:rFonts w:hint="eastAsia"/>
                <w:color w:val="auto"/>
                <w:highlight w:val="none"/>
                <w:lang w:val="en-US"/>
              </w:rPr>
              <w:t>无</w:t>
            </w:r>
          </w:p>
          <w:p>
            <w:pPr>
              <w:pStyle w:val="37"/>
              <w:spacing w:before="91" w:line="263" w:lineRule="exact"/>
              <w:ind w:firstLine="210" w:firstLineChars="100"/>
              <w:rPr>
                <w:color w:val="auto"/>
                <w:highlight w:val="none"/>
                <w:u w:val="single"/>
                <w:lang w:val="en-US"/>
              </w:rPr>
            </w:pPr>
            <w:r>
              <w:rPr>
                <w:rFonts w:hint="eastAsia"/>
                <w:w w:val="100"/>
                <w:sz w:val="21"/>
                <w:highlight w:val="none"/>
                <w:lang w:val="en-US" w:eastAsia="zh-CN"/>
              </w:rPr>
              <w:t>☑</w:t>
            </w:r>
            <w:r>
              <w:rPr>
                <w:rFonts w:hint="eastAsia"/>
                <w:color w:val="auto"/>
                <w:highlight w:val="none"/>
                <w:lang w:val="en-US"/>
              </w:rPr>
              <w:t>有</w:t>
            </w:r>
          </w:p>
          <w:p>
            <w:pPr>
              <w:spacing w:line="360" w:lineRule="auto"/>
              <w:ind w:firstLine="367" w:firstLineChars="175"/>
              <w:rPr>
                <w:color w:val="auto"/>
                <w:highlight w:val="none"/>
              </w:rPr>
            </w:pPr>
            <w:r>
              <w:rPr>
                <w:rFonts w:hint="eastAsia" w:ascii="宋体" w:hAnsi="宋体" w:cs="宋体"/>
                <w:color w:val="auto"/>
                <w:highlight w:val="none"/>
                <w:u w:val="single"/>
              </w:rPr>
              <w:t>公布的最高投标限价作为投标人投标报价的控制上限。投标报价 超过最高投标限价的，其投标将被否决。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37"/>
              <w:spacing w:before="1"/>
              <w:ind w:left="107" w:right="158" w:rightChars="75"/>
              <w:jc w:val="center"/>
              <w:rPr>
                <w:color w:val="auto"/>
                <w:highlight w:val="none"/>
              </w:rPr>
            </w:pPr>
            <w:r>
              <w:rPr>
                <w:color w:val="auto"/>
                <w:highlight w:val="none"/>
              </w:rPr>
              <w:t>3.2.9</w:t>
            </w:r>
          </w:p>
        </w:tc>
        <w:tc>
          <w:tcPr>
            <w:tcW w:w="1924" w:type="dxa"/>
            <w:noWrap w:val="0"/>
            <w:vAlign w:val="center"/>
          </w:tcPr>
          <w:p>
            <w:pPr>
              <w:pStyle w:val="37"/>
              <w:spacing w:line="321" w:lineRule="auto"/>
              <w:ind w:left="711" w:right="158" w:rightChars="75" w:hanging="526"/>
              <w:jc w:val="left"/>
              <w:rPr>
                <w:color w:val="auto"/>
                <w:highlight w:val="none"/>
              </w:rPr>
            </w:pPr>
            <w:r>
              <w:rPr>
                <w:color w:val="auto"/>
                <w:highlight w:val="none"/>
              </w:rPr>
              <w:t>投标报价的其他要求</w:t>
            </w:r>
          </w:p>
        </w:tc>
        <w:tc>
          <w:tcPr>
            <w:tcW w:w="6408" w:type="dxa"/>
            <w:noWrap w:val="0"/>
            <w:vAlign w:val="center"/>
          </w:tcPr>
          <w:p>
            <w:pPr>
              <w:pStyle w:val="37"/>
              <w:spacing w:before="91" w:line="260" w:lineRule="exact"/>
              <w:rPr>
                <w:color w:val="auto"/>
                <w:highlight w:val="none"/>
              </w:rPr>
            </w:pPr>
            <w:r>
              <w:rPr>
                <w:rFonts w:hint="eastAsia"/>
                <w:color w:val="auto"/>
                <w:highlight w:val="none"/>
                <w:lang w:val="en-US"/>
              </w:rPr>
              <w:t>1、</w:t>
            </w:r>
            <w:r>
              <w:rPr>
                <w:rFonts w:hint="eastAsia"/>
                <w:color w:val="auto"/>
                <w:highlight w:val="none"/>
              </w:rPr>
              <w:t>报价唯一：只能有一个有效报价。即：</w:t>
            </w:r>
          </w:p>
          <w:p>
            <w:pPr>
              <w:spacing w:line="360" w:lineRule="auto"/>
              <w:ind w:firstLine="367" w:firstLineChars="175"/>
              <w:rPr>
                <w:color w:val="auto"/>
                <w:highlight w:val="none"/>
              </w:rPr>
            </w:pPr>
            <w:r>
              <w:rPr>
                <w:rFonts w:hint="eastAsia"/>
                <w:color w:val="auto"/>
                <w:highlight w:val="none"/>
              </w:rPr>
              <w:t>（1）</w:t>
            </w:r>
            <w:r>
              <w:rPr>
                <w:rFonts w:hint="eastAsia"/>
                <w:highlight w:val="none"/>
              </w:rPr>
              <w:t>单价和总价都只允许有一个报价，任何有选择和保留的报价将不予接受，单价保留两位小数，运输单价保留三位小数。</w:t>
            </w:r>
            <w:r>
              <w:rPr>
                <w:rFonts w:hint="eastAsia"/>
                <w:color w:val="auto"/>
                <w:highlight w:val="none"/>
              </w:rPr>
              <w:t>。</w:t>
            </w:r>
          </w:p>
          <w:p>
            <w:pPr>
              <w:spacing w:line="360" w:lineRule="auto"/>
              <w:ind w:firstLine="367" w:firstLineChars="175"/>
              <w:rPr>
                <w:color w:val="auto"/>
                <w:highlight w:val="none"/>
              </w:rPr>
            </w:pPr>
            <w:r>
              <w:rPr>
                <w:rFonts w:hint="eastAsia"/>
                <w:color w:val="auto"/>
                <w:highlight w:val="none"/>
              </w:rPr>
              <w:t>（2）开标记录表中记录的投标报价、投标文件中投标函的投标总报价（大写）和报价汇总表中的总价金额，三者应完全一致（按要求小数点后四舍五入的除外）。</w:t>
            </w:r>
          </w:p>
          <w:p>
            <w:pPr>
              <w:spacing w:line="360" w:lineRule="auto"/>
              <w:ind w:firstLine="367" w:firstLineChars="175"/>
              <w:rPr>
                <w:color w:val="auto"/>
                <w:highlight w:val="none"/>
              </w:rPr>
            </w:pPr>
            <w:r>
              <w:rPr>
                <w:rFonts w:hint="eastAsia"/>
                <w:color w:val="auto"/>
                <w:highlight w:val="none"/>
              </w:rPr>
              <w:t>（3）总价金额与依据单价计算出的结果不一致的，以单价金额为准修正总价，投标人不的有任何异议。</w:t>
            </w:r>
          </w:p>
          <w:p>
            <w:pPr>
              <w:spacing w:line="360" w:lineRule="auto"/>
              <w:ind w:firstLine="367" w:firstLineChars="175"/>
              <w:rPr>
                <w:color w:val="auto"/>
                <w:highlight w:val="none"/>
              </w:rPr>
            </w:pPr>
            <w:r>
              <w:rPr>
                <w:rFonts w:hint="eastAsia"/>
                <w:color w:val="auto"/>
                <w:highlight w:val="none"/>
              </w:rPr>
              <w:t>（4）报价大小写不一致以大写为准。</w:t>
            </w:r>
          </w:p>
          <w:p>
            <w:pPr>
              <w:spacing w:line="360" w:lineRule="auto"/>
              <w:ind w:firstLine="367" w:firstLineChars="175"/>
              <w:rPr>
                <w:color w:val="auto"/>
                <w:highlight w:val="none"/>
              </w:rPr>
            </w:pPr>
            <w:r>
              <w:rPr>
                <w:rFonts w:hint="eastAsia"/>
                <w:color w:val="auto"/>
                <w:highlight w:val="none"/>
              </w:rPr>
              <w:t>（5）正本与副本不一致应以正本为准。</w:t>
            </w:r>
          </w:p>
          <w:p>
            <w:pPr>
              <w:topLinePunct w:val="0"/>
              <w:bidi w:val="0"/>
              <w:spacing w:line="360" w:lineRule="auto"/>
              <w:textAlignment w:val="auto"/>
              <w:rPr>
                <w:rFonts w:hint="default"/>
                <w:b/>
                <w:bCs/>
                <w:color w:val="auto"/>
                <w:highlight w:val="none"/>
                <w:u w:val="single"/>
                <w:lang w:val="en-US" w:eastAsia="zh-CN"/>
              </w:rPr>
            </w:pPr>
            <w:r>
              <w:rPr>
                <w:rFonts w:hint="eastAsia" w:ascii="宋体" w:hAnsi="宋体"/>
                <w:b/>
                <w:bCs/>
                <w:color w:val="auto"/>
                <w:w w:val="100"/>
                <w:szCs w:val="21"/>
                <w:highlight w:val="none"/>
                <w:u w:val="single"/>
                <w:lang w:val="en-US" w:eastAsia="zh-CN"/>
              </w:rPr>
              <w:t>2、投标单价不得超过清单各项招标控制单价，且也不得低于清单各项招标控制单价的90%，否则投标将被否决。</w:t>
            </w:r>
          </w:p>
          <w:p>
            <w:pPr>
              <w:spacing w:line="360" w:lineRule="auto"/>
              <w:rPr>
                <w:color w:val="auto"/>
                <w:highlight w:val="none"/>
              </w:rPr>
            </w:pPr>
            <w:r>
              <w:rPr>
                <w:rFonts w:hint="eastAsia" w:ascii="宋体" w:hAnsi="宋体"/>
                <w:color w:val="auto"/>
                <w:szCs w:val="21"/>
                <w:highlight w:val="none"/>
              </w:rPr>
              <w:t>3、招标工程量清单不得修改，投标人未填入报价的清单项目，视为其已包含在其他清单项目中。中标后，即使招标人要求该项工程量增加，投标人亦不得拒绝该清单项的施工。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center"/>
        </w:trPr>
        <w:tc>
          <w:tcPr>
            <w:tcW w:w="959" w:type="dxa"/>
            <w:noWrap w:val="0"/>
            <w:vAlign w:val="center"/>
          </w:tcPr>
          <w:p>
            <w:pPr>
              <w:pStyle w:val="17"/>
              <w:adjustRightInd w:val="0"/>
              <w:spacing w:line="360" w:lineRule="auto"/>
              <w:jc w:val="center"/>
              <w:rPr>
                <w:color w:val="auto"/>
                <w:highlight w:val="none"/>
              </w:rPr>
            </w:pPr>
            <w:r>
              <w:rPr>
                <w:rFonts w:hint="eastAsia" w:hAnsi="宋体" w:cs="Courier New"/>
                <w:color w:val="auto"/>
                <w:highlight w:val="none"/>
              </w:rPr>
              <w:t>3.3.1</w:t>
            </w:r>
          </w:p>
        </w:tc>
        <w:tc>
          <w:tcPr>
            <w:tcW w:w="1924" w:type="dxa"/>
            <w:noWrap w:val="0"/>
            <w:vAlign w:val="center"/>
          </w:tcPr>
          <w:p>
            <w:pPr>
              <w:pStyle w:val="17"/>
              <w:adjustRightInd w:val="0"/>
              <w:spacing w:line="360" w:lineRule="auto"/>
              <w:jc w:val="center"/>
              <w:rPr>
                <w:color w:val="auto"/>
                <w:highlight w:val="none"/>
              </w:rPr>
            </w:pPr>
            <w:r>
              <w:rPr>
                <w:rFonts w:hint="eastAsia" w:hAnsi="宋体" w:cs="Courier New"/>
                <w:color w:val="auto"/>
                <w:highlight w:val="none"/>
              </w:rPr>
              <w:t>投标有效期</w:t>
            </w:r>
          </w:p>
        </w:tc>
        <w:tc>
          <w:tcPr>
            <w:tcW w:w="6408" w:type="dxa"/>
            <w:noWrap w:val="0"/>
            <w:vAlign w:val="center"/>
          </w:tcPr>
          <w:p>
            <w:pPr>
              <w:adjustRightInd w:val="0"/>
              <w:snapToGrid w:val="0"/>
              <w:spacing w:line="360" w:lineRule="auto"/>
              <w:jc w:val="left"/>
              <w:rPr>
                <w:color w:val="auto"/>
                <w:highlight w:val="none"/>
              </w:rPr>
            </w:pPr>
            <w:r>
              <w:rPr>
                <w:rFonts w:ascii="宋体" w:hAnsi="宋体"/>
                <w:color w:val="auto"/>
                <w:szCs w:val="21"/>
                <w:highlight w:val="none"/>
              </w:rPr>
              <w:t>自</w:t>
            </w:r>
            <w:r>
              <w:rPr>
                <w:rFonts w:hint="eastAsia" w:ascii="宋体" w:hAnsi="宋体"/>
                <w:color w:val="auto"/>
                <w:szCs w:val="21"/>
                <w:highlight w:val="none"/>
              </w:rPr>
              <w:t>递交</w:t>
            </w:r>
            <w:r>
              <w:rPr>
                <w:rFonts w:ascii="宋体" w:hAnsi="宋体"/>
                <w:color w:val="auto"/>
                <w:szCs w:val="21"/>
                <w:highlight w:val="none"/>
              </w:rPr>
              <w:t>投标文件截止之日起</w:t>
            </w:r>
            <w:r>
              <w:rPr>
                <w:rFonts w:hint="eastAsia" w:ascii="宋体" w:hAnsi="宋体"/>
                <w:color w:val="auto"/>
                <w:szCs w:val="21"/>
                <w:highlight w:val="none"/>
                <w:lang w:val="en-US" w:eastAsia="zh-CN"/>
              </w:rPr>
              <w:t>6</w:t>
            </w:r>
            <w:r>
              <w:rPr>
                <w:rFonts w:hint="eastAsia" w:ascii="宋体" w:hAnsi="宋体"/>
                <w:color w:val="auto"/>
                <w:szCs w:val="21"/>
                <w:highlight w:val="none"/>
              </w:rPr>
              <w:t>0</w:t>
            </w:r>
            <w:r>
              <w:rPr>
                <w:rFonts w:ascii="宋体" w:hAnsi="宋体"/>
                <w:color w:val="auto"/>
                <w:szCs w:val="21"/>
                <w:highlight w:val="none"/>
              </w:rPr>
              <w:t>天</w:t>
            </w:r>
            <w:r>
              <w:rPr>
                <w:rFonts w:hint="eastAsia" w:ascii="宋体" w:hAnsi="宋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3.4.1</w:t>
            </w:r>
          </w:p>
        </w:tc>
        <w:tc>
          <w:tcPr>
            <w:tcW w:w="1924"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投标保证金</w:t>
            </w:r>
          </w:p>
        </w:tc>
        <w:tc>
          <w:tcPr>
            <w:tcW w:w="6408" w:type="dxa"/>
            <w:noWrap w:val="0"/>
            <w:vAlign w:val="center"/>
          </w:tcPr>
          <w:p>
            <w:pPr>
              <w:pStyle w:val="48"/>
              <w:numPr>
                <w:ilvl w:val="0"/>
                <w:numId w:val="2"/>
              </w:numPr>
              <w:spacing w:line="360" w:lineRule="auto"/>
              <w:jc w:val="both"/>
              <w:rPr>
                <w:rFonts w:ascii="宋体" w:hAnsi="宋体"/>
                <w:color w:val="auto"/>
                <w:sz w:val="21"/>
                <w:szCs w:val="21"/>
                <w:highlight w:val="none"/>
              </w:rPr>
            </w:pPr>
            <w:r>
              <w:rPr>
                <w:rFonts w:hint="eastAsia" w:ascii="宋体" w:hAnsi="宋体"/>
                <w:color w:val="auto"/>
                <w:highlight w:val="none"/>
              </w:rPr>
              <w:t>投标人在递交投标文件截止日之前，应按招标公告的规定使用基</w:t>
            </w:r>
            <w:r>
              <w:rPr>
                <w:rFonts w:hint="eastAsia" w:ascii="宋体" w:hAnsi="宋体"/>
                <w:color w:val="auto"/>
                <w:sz w:val="21"/>
                <w:szCs w:val="21"/>
                <w:highlight w:val="none"/>
              </w:rPr>
              <w:t>本账户向招标人的指定银行账户提交人民币</w:t>
            </w:r>
            <w:r>
              <w:rPr>
                <w:rFonts w:hint="eastAsia" w:ascii="宋体" w:hAnsi="宋体"/>
                <w:color w:val="auto"/>
                <w:sz w:val="21"/>
                <w:szCs w:val="21"/>
                <w:highlight w:val="none"/>
                <w:u w:val="single"/>
                <w:lang w:val="en-US" w:eastAsia="zh-CN"/>
              </w:rPr>
              <w:t>3万</w:t>
            </w:r>
            <w:r>
              <w:rPr>
                <w:rFonts w:hint="eastAsia" w:ascii="宋体" w:hAnsi="宋体"/>
                <w:color w:val="auto"/>
                <w:sz w:val="21"/>
                <w:szCs w:val="21"/>
                <w:highlight w:val="none"/>
                <w:u w:val="none"/>
                <w:lang w:val="en-US" w:eastAsia="zh-CN"/>
              </w:rPr>
              <w:t>元整</w:t>
            </w:r>
            <w:r>
              <w:rPr>
                <w:rFonts w:hint="eastAsia" w:ascii="宋体" w:hAnsi="宋体"/>
                <w:color w:val="auto"/>
                <w:sz w:val="21"/>
                <w:szCs w:val="21"/>
                <w:highlight w:val="none"/>
              </w:rPr>
              <w:t>的投标保证金。</w:t>
            </w:r>
          </w:p>
          <w:p>
            <w:pPr>
              <w:pStyle w:val="48"/>
              <w:spacing w:line="360" w:lineRule="auto"/>
              <w:jc w:val="both"/>
              <w:rPr>
                <w:rFonts w:ascii="宋体" w:hAnsi="宋体" w:cs="Times New Roman"/>
                <w:color w:val="auto"/>
                <w:kern w:val="2"/>
                <w:sz w:val="21"/>
                <w:szCs w:val="21"/>
                <w:highlight w:val="none"/>
              </w:rPr>
            </w:pPr>
            <w:r>
              <w:rPr>
                <w:rFonts w:hint="eastAsia" w:ascii="宋体" w:hAnsi="宋体" w:cs="Times New Roman"/>
                <w:color w:val="auto"/>
                <w:kern w:val="2"/>
                <w:sz w:val="21"/>
                <w:szCs w:val="21"/>
                <w:highlight w:val="none"/>
              </w:rPr>
              <w:t>2、投标保证金账户：</w:t>
            </w:r>
          </w:p>
          <w:p>
            <w:pPr>
              <w:pStyle w:val="48"/>
              <w:spacing w:line="360" w:lineRule="auto"/>
              <w:jc w:val="both"/>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账户名称：</w:t>
            </w:r>
            <w:r>
              <w:rPr>
                <w:rFonts w:hint="eastAsia" w:ascii="宋体" w:hAnsi="宋体" w:cs="宋体"/>
                <w:b w:val="0"/>
                <w:bCs w:val="0"/>
                <w:color w:val="auto"/>
                <w:sz w:val="21"/>
                <w:szCs w:val="21"/>
                <w:highlight w:val="none"/>
                <w:lang w:val="en-US" w:eastAsia="zh-CN"/>
              </w:rPr>
              <w:t>四川省交通建设集团股份有限公司</w:t>
            </w:r>
            <w:r>
              <w:rPr>
                <w:rFonts w:hint="eastAsia" w:ascii="宋体" w:hAnsi="宋体" w:cs="宋体"/>
                <w:color w:val="auto"/>
                <w:kern w:val="0"/>
                <w:sz w:val="21"/>
                <w:szCs w:val="21"/>
                <w:highlight w:val="none"/>
              </w:rPr>
              <w:tab/>
            </w:r>
          </w:p>
          <w:p>
            <w:pPr>
              <w:pStyle w:val="48"/>
              <w:spacing w:line="360" w:lineRule="auto"/>
              <w:jc w:val="both"/>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开户银行：中国银行成都双楠支行</w:t>
            </w:r>
          </w:p>
          <w:p>
            <w:pPr>
              <w:pStyle w:val="48"/>
              <w:spacing w:line="360" w:lineRule="auto"/>
              <w:jc w:val="both"/>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账号：1252 9763 2695</w:t>
            </w:r>
          </w:p>
          <w:p>
            <w:pPr>
              <w:pStyle w:val="2"/>
              <w:ind w:firstLine="0"/>
              <w:jc w:val="both"/>
              <w:rPr>
                <w:rFonts w:hint="eastAsia"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u w:val="single"/>
                <w:lang w:val="en-US" w:eastAsia="zh-CN" w:bidi="ar-SA"/>
              </w:rPr>
              <w:t>（转账时备注“VA00002+内宜（岷江二桥）劳务合作（第二次）投标保证金”）</w:t>
            </w:r>
          </w:p>
          <w:p>
            <w:pPr>
              <w:pStyle w:val="48"/>
              <w:spacing w:line="360" w:lineRule="auto"/>
              <w:jc w:val="both"/>
              <w:rPr>
                <w:rFonts w:hint="eastAsia" w:ascii="宋体" w:hAnsi="宋体"/>
                <w:b/>
                <w:bCs/>
                <w:color w:val="auto"/>
                <w:highlight w:val="none"/>
                <w:u w:val="single"/>
              </w:rPr>
            </w:pPr>
            <w:r>
              <w:rPr>
                <w:rFonts w:hint="eastAsia" w:ascii="宋体" w:hAnsi="宋体" w:cs="Times New Roman"/>
                <w:color w:val="auto"/>
                <w:kern w:val="2"/>
                <w:highlight w:val="none"/>
                <w:lang w:val="en-US" w:eastAsia="zh-CN"/>
              </w:rPr>
              <w:t>3、</w:t>
            </w:r>
            <w:r>
              <w:rPr>
                <w:rFonts w:hint="eastAsia" w:hAnsi="宋体" w:cs="宋体"/>
                <w:color w:val="auto"/>
                <w:highlight w:val="none"/>
              </w:rPr>
              <w:t>投标保证金的提交：转款凭证原件或复印件统一应装订在投标文件正本之中。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3" w:hRule="atLeast"/>
          <w:jc w:val="center"/>
        </w:trPr>
        <w:tc>
          <w:tcPr>
            <w:tcW w:w="959"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3.4.2</w:t>
            </w:r>
          </w:p>
        </w:tc>
        <w:tc>
          <w:tcPr>
            <w:tcW w:w="1924" w:type="dxa"/>
            <w:noWrap w:val="0"/>
            <w:vAlign w:val="center"/>
          </w:tcPr>
          <w:p>
            <w:pPr>
              <w:tabs>
                <w:tab w:val="left" w:pos="5220"/>
                <w:tab w:val="left" w:pos="5400"/>
                <w:tab w:val="left" w:pos="5580"/>
              </w:tabs>
              <w:adjustRightIn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投标保证金</w:t>
            </w:r>
          </w:p>
          <w:p>
            <w:pPr>
              <w:tabs>
                <w:tab w:val="left" w:pos="5220"/>
                <w:tab w:val="left" w:pos="5400"/>
                <w:tab w:val="left" w:pos="5580"/>
              </w:tabs>
              <w:adjustRightInd w:val="0"/>
              <w:spacing w:line="360" w:lineRule="auto"/>
              <w:jc w:val="center"/>
              <w:rPr>
                <w:rFonts w:hAnsi="宋体" w:cs="Courier New"/>
                <w:color w:val="auto"/>
                <w:highlight w:val="none"/>
              </w:rPr>
            </w:pPr>
            <w:r>
              <w:rPr>
                <w:rFonts w:hint="eastAsia" w:ascii="宋体" w:hAnsi="宋体"/>
                <w:color w:val="auto"/>
                <w:kern w:val="0"/>
                <w:szCs w:val="21"/>
                <w:highlight w:val="none"/>
              </w:rPr>
              <w:t>的退还</w:t>
            </w:r>
          </w:p>
        </w:tc>
        <w:tc>
          <w:tcPr>
            <w:tcW w:w="6408" w:type="dxa"/>
            <w:noWrap w:val="0"/>
            <w:vAlign w:val="center"/>
          </w:tcPr>
          <w:p>
            <w:pPr>
              <w:pStyle w:val="55"/>
              <w:spacing w:after="0" w:line="276" w:lineRule="auto"/>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退还时间：招标人在中标通知书发出后5日内向中标候选人以外的其他投标人</w:t>
            </w:r>
            <w:r>
              <w:rPr>
                <w:rFonts w:hint="eastAsia" w:ascii="宋体" w:hAnsi="宋体" w:cs="宋体"/>
                <w:color w:val="auto"/>
                <w:szCs w:val="21"/>
                <w:highlight w:val="none"/>
                <w:lang w:val="en-US" w:eastAsia="zh-CN"/>
              </w:rPr>
              <w:t>办理</w:t>
            </w:r>
            <w:r>
              <w:rPr>
                <w:rFonts w:hint="eastAsia" w:ascii="宋体" w:hAnsi="宋体" w:cs="宋体"/>
                <w:color w:val="auto"/>
                <w:szCs w:val="21"/>
                <w:highlight w:val="none"/>
              </w:rPr>
              <w:t>退还投标保证金</w:t>
            </w:r>
            <w:r>
              <w:rPr>
                <w:rFonts w:hint="eastAsia" w:ascii="宋体" w:hAnsi="宋体" w:cs="宋体"/>
                <w:color w:val="auto"/>
                <w:szCs w:val="21"/>
                <w:highlight w:val="none"/>
                <w:lang w:val="en-US" w:eastAsia="zh-CN"/>
              </w:rPr>
              <w:t>手续</w:t>
            </w:r>
            <w:r>
              <w:rPr>
                <w:rFonts w:hint="eastAsia" w:ascii="宋体" w:hAnsi="宋体" w:cs="宋体"/>
                <w:color w:val="auto"/>
                <w:szCs w:val="21"/>
                <w:highlight w:val="none"/>
              </w:rPr>
              <w:t>，与中标人签订书面合同后5日内向中标人</w:t>
            </w:r>
            <w:r>
              <w:rPr>
                <w:rFonts w:hint="eastAsia" w:ascii="宋体" w:hAnsi="宋体" w:cs="宋体"/>
                <w:color w:val="auto"/>
                <w:szCs w:val="21"/>
                <w:highlight w:val="none"/>
                <w:lang w:val="en-US" w:eastAsia="zh-CN"/>
              </w:rPr>
              <w:t>办理</w:t>
            </w:r>
            <w:r>
              <w:rPr>
                <w:rFonts w:hint="eastAsia" w:ascii="宋体" w:hAnsi="宋体" w:cs="宋体"/>
                <w:color w:val="auto"/>
                <w:szCs w:val="21"/>
                <w:highlight w:val="none"/>
              </w:rPr>
              <w:t>退还投标保证金</w:t>
            </w:r>
            <w:r>
              <w:rPr>
                <w:rFonts w:hint="eastAsia" w:ascii="宋体" w:hAnsi="宋体" w:cs="宋体"/>
                <w:color w:val="auto"/>
                <w:szCs w:val="21"/>
                <w:highlight w:val="none"/>
                <w:lang w:val="en-US" w:eastAsia="zh-CN"/>
              </w:rPr>
              <w:t>手续</w:t>
            </w:r>
            <w:r>
              <w:rPr>
                <w:rFonts w:hint="eastAsia" w:ascii="宋体" w:hAnsi="宋体" w:cs="宋体"/>
                <w:color w:val="auto"/>
                <w:szCs w:val="21"/>
                <w:highlight w:val="none"/>
              </w:rPr>
              <w:t>；</w:t>
            </w:r>
          </w:p>
          <w:p>
            <w:pPr>
              <w:pStyle w:val="57"/>
              <w:spacing w:line="276" w:lineRule="auto"/>
              <w:rPr>
                <w:rFonts w:hint="eastAsia" w:hAnsi="宋体" w:cs="宋体"/>
                <w:color w:val="auto"/>
                <w:highlight w:val="none"/>
              </w:rPr>
            </w:pPr>
            <w:r>
              <w:rPr>
                <w:rFonts w:hint="eastAsia" w:hAnsi="宋体" w:cs="宋体"/>
                <w:color w:val="auto"/>
                <w:highlight w:val="none"/>
              </w:rPr>
              <w:t>投标人在投标截止时间前撤回投标文件但已递交投标保证金的，招标人将自收到投标人书面撤回通知之日起5日内</w:t>
            </w:r>
            <w:r>
              <w:rPr>
                <w:rFonts w:hint="eastAsia" w:hAnsi="宋体" w:cs="宋体"/>
                <w:color w:val="auto"/>
                <w:highlight w:val="none"/>
                <w:lang w:val="en-US" w:eastAsia="zh-CN"/>
              </w:rPr>
              <w:t>办理</w:t>
            </w:r>
            <w:r>
              <w:rPr>
                <w:rFonts w:hint="eastAsia" w:hAnsi="宋体" w:cs="宋体"/>
                <w:color w:val="auto"/>
                <w:highlight w:val="none"/>
              </w:rPr>
              <w:t>退还其投标保证金</w:t>
            </w:r>
            <w:r>
              <w:rPr>
                <w:rFonts w:hint="eastAsia" w:hAnsi="宋体" w:cs="宋体"/>
                <w:color w:val="auto"/>
                <w:highlight w:val="none"/>
                <w:lang w:val="en-US" w:eastAsia="zh-CN"/>
              </w:rPr>
              <w:t>手续</w:t>
            </w:r>
            <w:r>
              <w:rPr>
                <w:rFonts w:hint="eastAsia" w:hAnsi="宋体" w:cs="宋体"/>
                <w:color w:val="auto"/>
                <w:highlight w:val="none"/>
              </w:rPr>
              <w:t>。</w:t>
            </w:r>
          </w:p>
          <w:p>
            <w:pPr>
              <w:pStyle w:val="17"/>
              <w:adjustRightInd w:val="0"/>
              <w:snapToGrid w:val="0"/>
              <w:spacing w:line="360" w:lineRule="auto"/>
              <w:jc w:val="left"/>
              <w:rPr>
                <w:rFonts w:hAnsi="宋体"/>
                <w:color w:val="auto"/>
                <w:highlight w:val="none"/>
              </w:rPr>
            </w:pPr>
            <w:r>
              <w:rPr>
                <w:rFonts w:hint="eastAsia" w:hAnsi="宋体" w:eastAsia="宋体" w:cs="宋体"/>
                <w:color w:val="auto"/>
                <w:sz w:val="21"/>
                <w:szCs w:val="21"/>
                <w:highlight w:val="none"/>
                <w:lang w:eastAsia="zh-CN"/>
              </w:rPr>
              <w:t>（2）退还方式：投标人递交加盖投标人财务公章的有效收据原件至招标人后，由招标人</w:t>
            </w:r>
            <w:r>
              <w:rPr>
                <w:rFonts w:hint="eastAsia" w:hAnsi="宋体" w:cs="宋体"/>
                <w:color w:val="auto"/>
                <w:sz w:val="21"/>
                <w:szCs w:val="21"/>
                <w:highlight w:val="none"/>
                <w:lang w:val="en-US" w:eastAsia="zh-CN"/>
              </w:rPr>
              <w:t>办理</w:t>
            </w:r>
            <w:r>
              <w:rPr>
                <w:rFonts w:hint="eastAsia" w:hAnsi="宋体" w:eastAsia="宋体" w:cs="宋体"/>
                <w:color w:val="auto"/>
                <w:sz w:val="21"/>
                <w:szCs w:val="21"/>
                <w:highlight w:val="none"/>
                <w:lang w:eastAsia="zh-CN"/>
              </w:rPr>
              <w:t>退还</w:t>
            </w:r>
            <w:r>
              <w:rPr>
                <w:rFonts w:hint="eastAsia" w:hAnsi="宋体" w:cs="宋体"/>
                <w:color w:val="auto"/>
                <w:sz w:val="21"/>
                <w:szCs w:val="21"/>
                <w:highlight w:val="none"/>
                <w:lang w:val="en-US" w:eastAsia="zh-CN"/>
              </w:rPr>
              <w:t>手续后，退还</w:t>
            </w:r>
            <w:r>
              <w:rPr>
                <w:rFonts w:hint="eastAsia" w:hAnsi="宋体" w:eastAsia="宋体" w:cs="宋体"/>
                <w:color w:val="auto"/>
                <w:sz w:val="21"/>
                <w:szCs w:val="21"/>
                <w:highlight w:val="none"/>
                <w:lang w:eastAsia="zh-CN"/>
              </w:rPr>
              <w:t>至投标人相应账户。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jc w:val="center"/>
        </w:trPr>
        <w:tc>
          <w:tcPr>
            <w:tcW w:w="959" w:type="dxa"/>
            <w:noWrap w:val="0"/>
            <w:vAlign w:val="center"/>
          </w:tcPr>
          <w:p>
            <w:pPr>
              <w:pStyle w:val="37"/>
              <w:ind w:right="206"/>
              <w:jc w:val="right"/>
              <w:rPr>
                <w:rFonts w:cs="Courier New"/>
                <w:color w:val="auto"/>
                <w:highlight w:val="none"/>
              </w:rPr>
            </w:pPr>
            <w:r>
              <w:rPr>
                <w:color w:val="auto"/>
                <w:highlight w:val="none"/>
              </w:rPr>
              <w:t>3.4.3</w:t>
            </w:r>
          </w:p>
        </w:tc>
        <w:tc>
          <w:tcPr>
            <w:tcW w:w="1924" w:type="dxa"/>
            <w:noWrap w:val="0"/>
            <w:vAlign w:val="center"/>
          </w:tcPr>
          <w:p>
            <w:pPr>
              <w:pStyle w:val="37"/>
              <w:spacing w:before="76"/>
              <w:ind w:left="107" w:right="99"/>
              <w:jc w:val="center"/>
              <w:rPr>
                <w:color w:val="auto"/>
                <w:highlight w:val="none"/>
              </w:rPr>
            </w:pPr>
            <w:r>
              <w:rPr>
                <w:color w:val="auto"/>
                <w:highlight w:val="none"/>
              </w:rPr>
              <w:t>投标保证金的利</w:t>
            </w:r>
          </w:p>
          <w:p>
            <w:pPr>
              <w:pStyle w:val="37"/>
              <w:spacing w:before="91" w:line="264" w:lineRule="exact"/>
              <w:ind w:left="104" w:right="99"/>
              <w:jc w:val="center"/>
              <w:rPr>
                <w:rFonts w:cs="Courier New"/>
                <w:color w:val="auto"/>
                <w:highlight w:val="none"/>
              </w:rPr>
            </w:pPr>
            <w:r>
              <w:rPr>
                <w:color w:val="auto"/>
                <w:highlight w:val="none"/>
              </w:rPr>
              <w:t>息计算原则</w:t>
            </w:r>
          </w:p>
        </w:tc>
        <w:tc>
          <w:tcPr>
            <w:tcW w:w="6408" w:type="dxa"/>
            <w:noWrap w:val="0"/>
            <w:vAlign w:val="center"/>
          </w:tcPr>
          <w:p>
            <w:pPr>
              <w:pStyle w:val="37"/>
              <w:ind w:left="107"/>
              <w:rPr>
                <w:rFonts w:cs="Times New Roman"/>
                <w:color w:val="auto"/>
                <w:highlight w:val="none"/>
              </w:rPr>
            </w:pPr>
            <w:r>
              <w:rPr>
                <w:rFonts w:hint="eastAsia"/>
                <w:color w:val="auto"/>
                <w:highlight w:val="none"/>
              </w:rPr>
              <w:t>不计息</w:t>
            </w:r>
            <w:r>
              <w:rPr>
                <w:color w:val="auto"/>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3" w:hRule="atLeast"/>
          <w:jc w:val="center"/>
        </w:trPr>
        <w:tc>
          <w:tcPr>
            <w:tcW w:w="959"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3.4.4</w:t>
            </w:r>
          </w:p>
        </w:tc>
        <w:tc>
          <w:tcPr>
            <w:tcW w:w="1924"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投标保证金不予退还的情形</w:t>
            </w:r>
          </w:p>
        </w:tc>
        <w:tc>
          <w:tcPr>
            <w:tcW w:w="6408" w:type="dxa"/>
            <w:noWrap w:val="0"/>
            <w:vAlign w:val="center"/>
          </w:tcPr>
          <w:p>
            <w:pPr>
              <w:pStyle w:val="17"/>
              <w:adjustRightInd w:val="0"/>
              <w:snapToGrid w:val="0"/>
              <w:spacing w:line="360" w:lineRule="auto"/>
              <w:rPr>
                <w:rFonts w:hAnsi="宋体" w:cs="Courier New"/>
                <w:color w:val="auto"/>
                <w:highlight w:val="none"/>
              </w:rPr>
            </w:pPr>
            <w:r>
              <w:rPr>
                <w:rFonts w:hAnsi="宋体" w:cs="Courier New"/>
                <w:color w:val="auto"/>
                <w:highlight w:val="none"/>
              </w:rPr>
              <w:t>有下列情形之一的，投标保证金将不予退还：</w:t>
            </w:r>
          </w:p>
          <w:p>
            <w:pPr>
              <w:pStyle w:val="17"/>
              <w:adjustRightInd w:val="0"/>
              <w:snapToGrid w:val="0"/>
              <w:spacing w:line="360" w:lineRule="auto"/>
              <w:rPr>
                <w:rFonts w:hAnsi="宋体" w:cs="Courier New"/>
                <w:color w:val="auto"/>
                <w:highlight w:val="none"/>
              </w:rPr>
            </w:pPr>
            <w:r>
              <w:rPr>
                <w:rFonts w:hint="eastAsia" w:hAnsi="宋体" w:cs="Courier New"/>
                <w:color w:val="auto"/>
                <w:highlight w:val="none"/>
              </w:rPr>
              <w:t>（1）投标人提交了虚假资料；</w:t>
            </w:r>
          </w:p>
          <w:p>
            <w:pPr>
              <w:pStyle w:val="17"/>
              <w:adjustRightInd w:val="0"/>
              <w:snapToGrid w:val="0"/>
              <w:spacing w:line="360" w:lineRule="auto"/>
              <w:rPr>
                <w:rFonts w:hAnsi="宋体" w:cs="Courier New"/>
                <w:color w:val="auto"/>
                <w:highlight w:val="none"/>
              </w:rPr>
            </w:pPr>
            <w:r>
              <w:rPr>
                <w:rFonts w:hint="eastAsia" w:hAnsi="宋体" w:cs="Courier New"/>
                <w:color w:val="auto"/>
                <w:highlight w:val="none"/>
              </w:rPr>
              <w:t>（2）中标人未按招标文件要求在规定的时间内提交足额履约保证金。</w:t>
            </w:r>
          </w:p>
          <w:p>
            <w:pPr>
              <w:pStyle w:val="17"/>
              <w:adjustRightInd w:val="0"/>
              <w:snapToGrid w:val="0"/>
              <w:spacing w:line="360" w:lineRule="auto"/>
              <w:rPr>
                <w:rFonts w:hAnsi="宋体" w:cs="Courier New"/>
                <w:color w:val="auto"/>
                <w:highlight w:val="none"/>
              </w:rPr>
            </w:pPr>
            <w:r>
              <w:rPr>
                <w:rFonts w:hint="eastAsia" w:hAnsi="宋体" w:cs="Courier New"/>
                <w:color w:val="auto"/>
                <w:highlight w:val="none"/>
              </w:rPr>
              <w:t>（3）中标人在收到中标通知书后30日内拒签合同协议书，</w:t>
            </w:r>
            <w:r>
              <w:rPr>
                <w:rFonts w:hint="eastAsia" w:hAnsi="宋体" w:cs="Courier New"/>
                <w:color w:val="auto"/>
                <w:highlight w:val="none"/>
                <w:lang w:eastAsia="zh-CN"/>
              </w:rPr>
              <w:t>或</w:t>
            </w:r>
            <w:r>
              <w:rPr>
                <w:rFonts w:hint="eastAsia" w:hAnsi="宋体" w:cs="Courier New"/>
                <w:color w:val="auto"/>
                <w:highlight w:val="none"/>
              </w:rPr>
              <w:t>在签订合同时向招标人提出招标文件之外</w:t>
            </w:r>
            <w:r>
              <w:rPr>
                <w:rFonts w:hint="eastAsia" w:hAnsi="宋体" w:cs="Courier New"/>
                <w:color w:val="auto"/>
                <w:highlight w:val="none"/>
                <w:lang w:eastAsia="zh-CN"/>
              </w:rPr>
              <w:t>的</w:t>
            </w:r>
            <w:r>
              <w:rPr>
                <w:rFonts w:hint="eastAsia" w:hAnsi="宋体" w:cs="Courier New"/>
                <w:color w:val="auto"/>
                <w:highlight w:val="none"/>
              </w:rPr>
              <w:t>附加条件。</w:t>
            </w:r>
          </w:p>
          <w:p>
            <w:pPr>
              <w:pStyle w:val="17"/>
              <w:adjustRightInd w:val="0"/>
              <w:snapToGrid w:val="0"/>
              <w:spacing w:line="360" w:lineRule="auto"/>
              <w:rPr>
                <w:rFonts w:hAnsi="宋体" w:cs="Courier New"/>
                <w:color w:val="auto"/>
                <w:highlight w:val="none"/>
              </w:rPr>
            </w:pPr>
            <w:r>
              <w:rPr>
                <w:rFonts w:hint="eastAsia" w:hAnsi="宋体" w:cs="Courier New"/>
                <w:color w:val="auto"/>
                <w:highlight w:val="none"/>
              </w:rPr>
              <w:t>（4）投标人在规定的投标有限期内撤销或修改其投标文件。</w:t>
            </w:r>
          </w:p>
          <w:p>
            <w:pPr>
              <w:pStyle w:val="17"/>
              <w:adjustRightInd w:val="0"/>
              <w:snapToGrid w:val="0"/>
              <w:spacing w:line="360" w:lineRule="auto"/>
              <w:rPr>
                <w:rFonts w:hAnsi="宋体" w:cs="Courier New"/>
                <w:color w:val="auto"/>
                <w:highlight w:val="none"/>
              </w:rPr>
            </w:pPr>
            <w:r>
              <w:rPr>
                <w:rFonts w:hint="eastAsia" w:hAnsi="宋体" w:cs="Courier New"/>
                <w:color w:val="auto"/>
                <w:highlight w:val="none"/>
              </w:rPr>
              <w:t>（5）投标人在投标活动中有违法、违规及弄虚作假行为的；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59"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3.5.1</w:t>
            </w:r>
          </w:p>
        </w:tc>
        <w:tc>
          <w:tcPr>
            <w:tcW w:w="1924"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安全员相应要求</w:t>
            </w:r>
          </w:p>
        </w:tc>
        <w:tc>
          <w:tcPr>
            <w:tcW w:w="6408" w:type="dxa"/>
            <w:noWrap w:val="0"/>
            <w:vAlign w:val="center"/>
          </w:tcPr>
          <w:p>
            <w:pPr>
              <w:widowControl/>
              <w:spacing w:line="360" w:lineRule="auto"/>
              <w:jc w:val="left"/>
              <w:rPr>
                <w:rFonts w:hAnsi="宋体" w:cs="Courier New"/>
                <w:color w:val="auto"/>
                <w:highlight w:val="none"/>
              </w:rPr>
            </w:pPr>
            <w:r>
              <w:rPr>
                <w:rFonts w:hint="eastAsia" w:ascii="宋体" w:hAnsi="宋体" w:cs="Courier New"/>
                <w:color w:val="auto"/>
                <w:szCs w:val="21"/>
                <w:highlight w:val="none"/>
              </w:rPr>
              <w:t>投标</w:t>
            </w:r>
            <w:r>
              <w:rPr>
                <w:rFonts w:ascii="宋体" w:hAnsi="宋体" w:cs="Courier New"/>
                <w:color w:val="auto"/>
                <w:szCs w:val="21"/>
                <w:highlight w:val="none"/>
              </w:rPr>
              <w:t>单位应当配置至少</w:t>
            </w:r>
            <w:r>
              <w:rPr>
                <w:rFonts w:hint="eastAsia" w:ascii="宋体" w:hAnsi="宋体" w:cs="Courier New"/>
                <w:color w:val="auto"/>
                <w:szCs w:val="21"/>
                <w:highlight w:val="none"/>
                <w:lang w:val="en-US" w:eastAsia="zh-CN"/>
              </w:rPr>
              <w:t>1</w:t>
            </w:r>
            <w:r>
              <w:rPr>
                <w:rFonts w:ascii="宋体" w:hAnsi="宋体" w:cs="Courier New"/>
                <w:color w:val="auto"/>
                <w:szCs w:val="21"/>
                <w:highlight w:val="none"/>
              </w:rPr>
              <w:t>人，并根据所承担的分部分项工程的工程量和施工危险程度增加。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3.7.4</w:t>
            </w:r>
          </w:p>
        </w:tc>
        <w:tc>
          <w:tcPr>
            <w:tcW w:w="1924"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投标文件份数</w:t>
            </w:r>
          </w:p>
        </w:tc>
        <w:tc>
          <w:tcPr>
            <w:tcW w:w="6408" w:type="dxa"/>
            <w:noWrap w:val="0"/>
            <w:vAlign w:val="center"/>
          </w:tcPr>
          <w:p>
            <w:pPr>
              <w:pStyle w:val="17"/>
              <w:adjustRightInd w:val="0"/>
              <w:spacing w:line="360" w:lineRule="auto"/>
              <w:ind w:firstLine="316" w:firstLineChars="150"/>
              <w:jc w:val="left"/>
              <w:rPr>
                <w:rFonts w:hAnsi="宋体" w:cs="Courier New"/>
                <w:b/>
                <w:bCs/>
                <w:color w:val="auto"/>
                <w:highlight w:val="none"/>
                <w:u w:val="single"/>
              </w:rPr>
            </w:pPr>
            <w:r>
              <w:rPr>
                <w:rFonts w:hint="eastAsia" w:hAnsi="宋体" w:cs="Courier New"/>
                <w:b/>
                <w:bCs/>
                <w:color w:val="auto"/>
                <w:kern w:val="0"/>
                <w:highlight w:val="none"/>
                <w:u w:val="single"/>
              </w:rPr>
              <w:t>正本1份、副本1份。</w:t>
            </w:r>
            <w:r>
              <w:rPr>
                <w:rFonts w:hint="eastAsia" w:hAnsi="宋体" w:cs="Courier New"/>
                <w:b/>
                <w:bCs/>
                <w:color w:val="auto"/>
                <w:highlight w:val="none"/>
                <w:u w:val="single"/>
              </w:rPr>
              <w:t>电子文档（U盘）一份（U盘内容包括：正本扫描件1份、word文档版投标文件1份、投标报价固化工程量清单EXCEL文件1份）。</w:t>
            </w:r>
          </w:p>
          <w:p>
            <w:pPr>
              <w:pStyle w:val="17"/>
              <w:adjustRightInd w:val="0"/>
              <w:spacing w:line="360" w:lineRule="auto"/>
              <w:ind w:firstLine="315" w:firstLineChars="150"/>
              <w:jc w:val="left"/>
              <w:rPr>
                <w:rFonts w:hAnsi="宋体" w:cs="宋体"/>
                <w:color w:val="auto"/>
                <w:kern w:val="0"/>
                <w:sz w:val="24"/>
                <w:szCs w:val="24"/>
                <w:highlight w:val="none"/>
              </w:rPr>
            </w:pPr>
            <w:r>
              <w:rPr>
                <w:rFonts w:hint="eastAsia" w:hAnsi="宋体" w:cs="宋体"/>
                <w:color w:val="auto"/>
                <w:kern w:val="0"/>
                <w:highlight w:val="none"/>
              </w:rPr>
              <w:t>当电子文档和正本不一致时，以正本为准，当电子文档或副本与正本内容不一致造成的评标差错由投标人自行承担。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3.7.5</w:t>
            </w:r>
          </w:p>
        </w:tc>
        <w:tc>
          <w:tcPr>
            <w:tcW w:w="1924"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装订要求</w:t>
            </w:r>
          </w:p>
        </w:tc>
        <w:tc>
          <w:tcPr>
            <w:tcW w:w="6408" w:type="dxa"/>
            <w:noWrap w:val="0"/>
            <w:vAlign w:val="center"/>
          </w:tcPr>
          <w:p>
            <w:pPr>
              <w:pStyle w:val="23"/>
              <w:shd w:val="clear"/>
              <w:adjustRightInd w:val="0"/>
              <w:snapToGrid w:val="0"/>
              <w:spacing w:before="0" w:beforeAutospacing="0" w:after="0" w:afterAutospacing="0" w:line="360" w:lineRule="auto"/>
              <w:ind w:firstLine="420" w:firstLineChars="200"/>
              <w:jc w:val="both"/>
              <w:rPr>
                <w:color w:val="auto"/>
                <w:szCs w:val="24"/>
                <w:highlight w:val="none"/>
                <w:lang w:eastAsia="zh-CN"/>
              </w:rPr>
            </w:pPr>
            <w:r>
              <w:rPr>
                <w:rFonts w:hint="eastAsia"/>
                <w:sz w:val="21"/>
                <w:szCs w:val="21"/>
                <w:highlight w:val="none"/>
                <w:lang w:eastAsia="zh-CN"/>
              </w:rPr>
              <w:t>投标文件的正本、副本应编制目录、且逐页标注连续编码。投标文件应采用粘贴或装订方式分别装订成册，并标明“正本”、“副本”，不得采用活页夹等可随时拆换的方式装订，否则，由于投标文件页码编制和装订造成的丢失、散落或其它后果概由投标人自行承担。招标文件要求投标文件中附原件的，应一律附于投标文件“正  本”内。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3.7.6</w:t>
            </w:r>
          </w:p>
        </w:tc>
        <w:tc>
          <w:tcPr>
            <w:tcW w:w="1924" w:type="dxa"/>
            <w:noWrap w:val="0"/>
            <w:vAlign w:val="center"/>
          </w:tcPr>
          <w:p>
            <w:pPr>
              <w:pStyle w:val="17"/>
              <w:adjustRightInd w:val="0"/>
              <w:spacing w:line="360" w:lineRule="auto"/>
              <w:jc w:val="center"/>
              <w:rPr>
                <w:rFonts w:hAnsi="宋体" w:cs="Courier New"/>
                <w:color w:val="auto"/>
                <w:highlight w:val="none"/>
              </w:rPr>
            </w:pPr>
            <w:r>
              <w:rPr>
                <w:rFonts w:hint="eastAsia" w:hAnsi="宋体" w:cs="Courier New"/>
                <w:color w:val="auto"/>
                <w:highlight w:val="none"/>
              </w:rPr>
              <w:t>签字或盖章要求</w:t>
            </w:r>
          </w:p>
        </w:tc>
        <w:tc>
          <w:tcPr>
            <w:tcW w:w="6408" w:type="dxa"/>
            <w:noWrap w:val="0"/>
            <w:vAlign w:val="center"/>
          </w:tcPr>
          <w:p>
            <w:pPr>
              <w:pStyle w:val="23"/>
              <w:shd w:val="clear"/>
              <w:adjustRightInd w:val="0"/>
              <w:snapToGrid w:val="0"/>
              <w:spacing w:before="0" w:beforeAutospacing="0" w:after="0" w:afterAutospacing="0" w:line="360" w:lineRule="auto"/>
              <w:ind w:firstLine="315" w:firstLineChars="150"/>
              <w:jc w:val="both"/>
              <w:rPr>
                <w:b/>
                <w:sz w:val="21"/>
                <w:szCs w:val="21"/>
                <w:highlight w:val="none"/>
                <w:lang w:eastAsia="zh-CN"/>
              </w:rPr>
            </w:pPr>
            <w:r>
              <w:rPr>
                <w:rFonts w:hint="eastAsia"/>
                <w:sz w:val="21"/>
                <w:szCs w:val="21"/>
                <w:highlight w:val="none"/>
                <w:lang w:eastAsia="zh-CN"/>
              </w:rPr>
              <w:t>（1）单位章内容必须与单位营业执照名称一致。</w:t>
            </w:r>
          </w:p>
          <w:p>
            <w:pPr>
              <w:pStyle w:val="23"/>
              <w:shd w:val="clear"/>
              <w:adjustRightInd w:val="0"/>
              <w:snapToGrid w:val="0"/>
              <w:spacing w:before="0" w:beforeAutospacing="0" w:after="0" w:afterAutospacing="0" w:line="360" w:lineRule="auto"/>
              <w:ind w:firstLine="315" w:firstLineChars="150"/>
              <w:jc w:val="both"/>
              <w:rPr>
                <w:sz w:val="21"/>
                <w:szCs w:val="21"/>
                <w:highlight w:val="none"/>
                <w:lang w:eastAsia="zh-CN"/>
              </w:rPr>
            </w:pPr>
            <w:r>
              <w:rPr>
                <w:rFonts w:hint="eastAsia"/>
                <w:sz w:val="21"/>
                <w:szCs w:val="21"/>
                <w:highlight w:val="none"/>
                <w:lang w:eastAsia="zh-CN"/>
              </w:rPr>
              <w:t>（2）法定代表人或授权的代理人必须在投标文件格式上所有要求签署的地方亲自签署，并不得用印章、签名章或电子制版章代替。</w:t>
            </w:r>
          </w:p>
          <w:p>
            <w:pPr>
              <w:pStyle w:val="23"/>
              <w:shd w:val="clear"/>
              <w:adjustRightInd w:val="0"/>
              <w:snapToGrid w:val="0"/>
              <w:spacing w:before="0" w:beforeAutospacing="0" w:after="0" w:afterAutospacing="0" w:line="360" w:lineRule="auto"/>
              <w:jc w:val="both"/>
              <w:rPr>
                <w:sz w:val="21"/>
                <w:szCs w:val="21"/>
                <w:highlight w:val="none"/>
                <w:lang w:eastAsia="zh-CN"/>
              </w:rPr>
            </w:pPr>
            <w:r>
              <w:rPr>
                <w:rFonts w:hint="eastAsia"/>
                <w:sz w:val="21"/>
                <w:szCs w:val="21"/>
                <w:highlight w:val="none"/>
                <w:lang w:eastAsia="zh-CN"/>
              </w:rPr>
              <w:t>（3）投标文件格式上所有要求盖章的地方都须加盖投标人单位章（法定名称），不得使用专用印章。</w:t>
            </w:r>
          </w:p>
          <w:p>
            <w:pPr>
              <w:pStyle w:val="23"/>
              <w:shd w:val="clear"/>
              <w:adjustRightInd w:val="0"/>
              <w:snapToGrid w:val="0"/>
              <w:spacing w:before="0" w:beforeAutospacing="0" w:after="0" w:afterAutospacing="0" w:line="360" w:lineRule="auto"/>
              <w:ind w:firstLine="360" w:firstLineChars="0"/>
              <w:jc w:val="both"/>
              <w:rPr>
                <w:color w:val="auto"/>
                <w:szCs w:val="24"/>
                <w:highlight w:val="none"/>
                <w:lang w:eastAsia="zh-CN"/>
              </w:rPr>
            </w:pPr>
            <w:r>
              <w:rPr>
                <w:rFonts w:hint="eastAsia"/>
                <w:sz w:val="21"/>
                <w:szCs w:val="21"/>
                <w:highlight w:val="none"/>
                <w:lang w:eastAsia="zh-CN"/>
              </w:rPr>
              <w:t>（4）投标文件格式中对应内容在提交的投标文件中的任何改动之处应加盖单位章或由投标人的法定代表人或其委托代理人签字确认。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37"/>
              <w:ind w:left="107" w:right="99"/>
              <w:jc w:val="center"/>
              <w:rPr>
                <w:rFonts w:cs="Courier New"/>
                <w:color w:val="auto"/>
                <w:highlight w:val="none"/>
              </w:rPr>
            </w:pPr>
            <w:r>
              <w:rPr>
                <w:color w:val="auto"/>
                <w:highlight w:val="none"/>
              </w:rPr>
              <w:t>4.1.1</w:t>
            </w:r>
          </w:p>
        </w:tc>
        <w:tc>
          <w:tcPr>
            <w:tcW w:w="1924" w:type="dxa"/>
            <w:noWrap w:val="0"/>
            <w:vAlign w:val="center"/>
          </w:tcPr>
          <w:p>
            <w:pPr>
              <w:pStyle w:val="37"/>
              <w:ind w:left="107" w:right="99"/>
              <w:jc w:val="center"/>
              <w:rPr>
                <w:rFonts w:cs="Courier New"/>
                <w:color w:val="auto"/>
                <w:highlight w:val="none"/>
              </w:rPr>
            </w:pPr>
            <w:r>
              <w:rPr>
                <w:color w:val="auto"/>
                <w:highlight w:val="none"/>
              </w:rPr>
              <w:t>投标文件的密封</w:t>
            </w:r>
          </w:p>
        </w:tc>
        <w:tc>
          <w:tcPr>
            <w:tcW w:w="6408" w:type="dxa"/>
            <w:noWrap w:val="0"/>
            <w:vAlign w:val="center"/>
          </w:tcPr>
          <w:p>
            <w:pPr>
              <w:pStyle w:val="37"/>
              <w:shd w:val="clear"/>
              <w:spacing w:before="50" w:line="288" w:lineRule="auto"/>
              <w:ind w:left="107" w:leftChars="0" w:right="73" w:rightChars="0"/>
              <w:rPr>
                <w:color w:val="auto"/>
                <w:kern w:val="0"/>
                <w:sz w:val="24"/>
                <w:szCs w:val="24"/>
                <w:highlight w:val="none"/>
              </w:rPr>
            </w:pPr>
            <w:r>
              <w:rPr>
                <w:rFonts w:hint="eastAsia"/>
                <w:bCs/>
                <w:highlight w:val="none"/>
                <w:lang w:val="en-US"/>
              </w:rPr>
              <w:t>投标文件应在其封套的封口处加贴封条，并在封套的封口处加盖投标人单位章（鲜章）。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37"/>
              <w:ind w:left="107" w:right="99"/>
              <w:jc w:val="center"/>
              <w:rPr>
                <w:color w:val="auto"/>
                <w:highlight w:val="none"/>
              </w:rPr>
            </w:pPr>
            <w:r>
              <w:rPr>
                <w:color w:val="auto"/>
                <w:highlight w:val="none"/>
              </w:rPr>
              <w:t>4.1.2</w:t>
            </w:r>
          </w:p>
        </w:tc>
        <w:tc>
          <w:tcPr>
            <w:tcW w:w="1924" w:type="dxa"/>
            <w:noWrap w:val="0"/>
            <w:vAlign w:val="center"/>
          </w:tcPr>
          <w:p>
            <w:pPr>
              <w:pStyle w:val="37"/>
              <w:ind w:left="107" w:right="99"/>
              <w:jc w:val="center"/>
              <w:rPr>
                <w:color w:val="auto"/>
                <w:highlight w:val="none"/>
              </w:rPr>
            </w:pPr>
            <w:r>
              <w:rPr>
                <w:rFonts w:hint="eastAsia"/>
                <w:color w:val="auto"/>
                <w:highlight w:val="none"/>
              </w:rPr>
              <w:t>封套上应载明的信息</w:t>
            </w:r>
          </w:p>
        </w:tc>
        <w:tc>
          <w:tcPr>
            <w:tcW w:w="6408" w:type="dxa"/>
            <w:noWrap w:val="0"/>
            <w:vAlign w:val="center"/>
          </w:tcPr>
          <w:p>
            <w:pPr>
              <w:pStyle w:val="37"/>
              <w:shd w:val="clear"/>
              <w:tabs>
                <w:tab w:val="left" w:pos="3304"/>
              </w:tabs>
              <w:spacing w:before="90" w:line="321" w:lineRule="auto"/>
              <w:ind w:left="107" w:right="1700"/>
              <w:rPr>
                <w:b/>
                <w:bCs/>
                <w:highlight w:val="none"/>
                <w:lang w:val="en-US"/>
              </w:rPr>
            </w:pPr>
            <w:r>
              <w:rPr>
                <w:rFonts w:hint="eastAsia"/>
                <w:b/>
                <w:bCs/>
                <w:highlight w:val="none"/>
                <w:lang w:val="en-US"/>
              </w:rPr>
              <w:t>投标封套外写明:</w:t>
            </w:r>
          </w:p>
          <w:p>
            <w:pPr>
              <w:pStyle w:val="37"/>
              <w:shd w:val="clear"/>
              <w:tabs>
                <w:tab w:val="left" w:pos="3304"/>
              </w:tabs>
              <w:spacing w:before="90" w:line="321" w:lineRule="auto"/>
              <w:ind w:left="107" w:right="1700"/>
              <w:rPr>
                <w:highlight w:val="none"/>
                <w:u w:val="single"/>
              </w:rPr>
            </w:pPr>
            <w:r>
              <w:rPr>
                <w:highlight w:val="none"/>
              </w:rPr>
              <w:t>招标</w:t>
            </w:r>
            <w:r>
              <w:rPr>
                <w:spacing w:val="-3"/>
                <w:highlight w:val="none"/>
              </w:rPr>
              <w:t>人</w:t>
            </w:r>
            <w:r>
              <w:rPr>
                <w:highlight w:val="none"/>
              </w:rPr>
              <w:t>名</w:t>
            </w:r>
            <w:r>
              <w:rPr>
                <w:spacing w:val="-3"/>
                <w:highlight w:val="none"/>
              </w:rPr>
              <w:t>称</w:t>
            </w:r>
            <w:r>
              <w:rPr>
                <w:highlight w:val="none"/>
              </w:rPr>
              <w:t>：</w:t>
            </w:r>
            <w:r>
              <w:rPr>
                <w:highlight w:val="none"/>
                <w:u w:val="single"/>
              </w:rPr>
              <w:tab/>
            </w:r>
          </w:p>
          <w:p>
            <w:pPr>
              <w:pStyle w:val="37"/>
              <w:shd w:val="clear"/>
              <w:tabs>
                <w:tab w:val="left" w:pos="3304"/>
              </w:tabs>
              <w:spacing w:before="90" w:line="321" w:lineRule="auto"/>
              <w:ind w:left="107" w:right="1700"/>
              <w:rPr>
                <w:rFonts w:ascii="Times New Roman" w:eastAsia="Times New Roman"/>
                <w:highlight w:val="none"/>
              </w:rPr>
            </w:pPr>
            <w:r>
              <w:rPr>
                <w:rFonts w:hint="eastAsia"/>
                <w:highlight w:val="none"/>
                <w:lang w:val="en-US"/>
              </w:rPr>
              <w:t xml:space="preserve">招标人地址: </w:t>
            </w:r>
            <w:r>
              <w:rPr>
                <w:highlight w:val="none"/>
                <w:u w:val="single"/>
              </w:rPr>
              <w:tab/>
            </w:r>
          </w:p>
          <w:p>
            <w:pPr>
              <w:pStyle w:val="37"/>
              <w:shd w:val="clear"/>
              <w:tabs>
                <w:tab w:val="left" w:pos="738"/>
                <w:tab w:val="left" w:pos="2627"/>
                <w:tab w:val="left" w:pos="2884"/>
              </w:tabs>
              <w:spacing w:line="321" w:lineRule="auto"/>
              <w:ind w:left="107" w:right="274"/>
              <w:rPr>
                <w:rFonts w:ascii="Times New Roman"/>
                <w:highlight w:val="none"/>
                <w:lang w:val="en-US"/>
              </w:rPr>
            </w:pPr>
            <w:r>
              <w:rPr>
                <w:rFonts w:ascii="Times New Roman" w:eastAsia="Times New Roman"/>
                <w:highlight w:val="none"/>
                <w:u w:val="single"/>
              </w:rPr>
              <w:t xml:space="preserve"> </w:t>
            </w:r>
            <w:r>
              <w:rPr>
                <w:rFonts w:ascii="Times New Roman" w:eastAsia="Times New Roman"/>
                <w:highlight w:val="none"/>
                <w:u w:val="single"/>
              </w:rPr>
              <w:tab/>
            </w:r>
            <w:r>
              <w:rPr>
                <w:highlight w:val="none"/>
              </w:rPr>
              <w:t>（</w:t>
            </w:r>
            <w:r>
              <w:rPr>
                <w:spacing w:val="-3"/>
                <w:highlight w:val="none"/>
              </w:rPr>
              <w:t>项</w:t>
            </w:r>
            <w:r>
              <w:rPr>
                <w:highlight w:val="none"/>
              </w:rPr>
              <w:t>目</w:t>
            </w:r>
            <w:r>
              <w:rPr>
                <w:spacing w:val="-3"/>
                <w:highlight w:val="none"/>
              </w:rPr>
              <w:t>名</w:t>
            </w:r>
            <w:r>
              <w:rPr>
                <w:highlight w:val="none"/>
              </w:rPr>
              <w:t>称</w:t>
            </w:r>
            <w:r>
              <w:rPr>
                <w:spacing w:val="-3"/>
                <w:highlight w:val="none"/>
              </w:rPr>
              <w:t>）</w:t>
            </w:r>
            <w:r>
              <w:rPr>
                <w:rFonts w:hint="eastAsia"/>
                <w:spacing w:val="-3"/>
                <w:highlight w:val="none"/>
                <w:lang w:val="en-US"/>
              </w:rPr>
              <w:t>投标文件</w:t>
            </w:r>
          </w:p>
          <w:p>
            <w:pPr>
              <w:pStyle w:val="37"/>
              <w:shd w:val="clear"/>
              <w:tabs>
                <w:tab w:val="left" w:pos="3935"/>
              </w:tabs>
              <w:spacing w:line="321" w:lineRule="auto"/>
              <w:ind w:left="107" w:right="1069"/>
              <w:rPr>
                <w:highlight w:val="none"/>
              </w:rPr>
            </w:pPr>
            <w:r>
              <w:rPr>
                <w:highlight w:val="none"/>
              </w:rPr>
              <w:t>在</w:t>
            </w:r>
            <w:r>
              <w:rPr>
                <w:highlight w:val="none"/>
                <w:u w:val="single"/>
              </w:rPr>
              <w:t xml:space="preserve">   </w:t>
            </w:r>
            <w:r>
              <w:rPr>
                <w:spacing w:val="2"/>
                <w:highlight w:val="none"/>
                <w:u w:val="single"/>
              </w:rPr>
              <w:t xml:space="preserve"> </w:t>
            </w:r>
            <w:r>
              <w:rPr>
                <w:highlight w:val="none"/>
              </w:rPr>
              <w:t>年</w:t>
            </w:r>
            <w:r>
              <w:rPr>
                <w:highlight w:val="none"/>
                <w:u w:val="single"/>
              </w:rPr>
              <w:t xml:space="preserve">   </w:t>
            </w:r>
            <w:r>
              <w:rPr>
                <w:highlight w:val="none"/>
              </w:rPr>
              <w:t>月</w:t>
            </w:r>
            <w:r>
              <w:rPr>
                <w:highlight w:val="none"/>
                <w:u w:val="single"/>
              </w:rPr>
              <w:t xml:space="preserve">  </w:t>
            </w:r>
            <w:r>
              <w:rPr>
                <w:highlight w:val="none"/>
              </w:rPr>
              <w:t>日</w:t>
            </w:r>
            <w:r>
              <w:rPr>
                <w:highlight w:val="none"/>
                <w:u w:val="single"/>
              </w:rPr>
              <w:t xml:space="preserve">  </w:t>
            </w:r>
            <w:r>
              <w:rPr>
                <w:highlight w:val="none"/>
              </w:rPr>
              <w:t>时</w:t>
            </w:r>
            <w:r>
              <w:rPr>
                <w:spacing w:val="101"/>
                <w:highlight w:val="none"/>
                <w:u w:val="single"/>
              </w:rPr>
              <w:t xml:space="preserve"> </w:t>
            </w:r>
            <w:r>
              <w:rPr>
                <w:highlight w:val="none"/>
              </w:rPr>
              <w:t>分前</w:t>
            </w:r>
            <w:r>
              <w:rPr>
                <w:spacing w:val="-3"/>
                <w:highlight w:val="none"/>
              </w:rPr>
              <w:t>不</w:t>
            </w:r>
            <w:r>
              <w:rPr>
                <w:highlight w:val="none"/>
              </w:rPr>
              <w:t>得</w:t>
            </w:r>
            <w:r>
              <w:rPr>
                <w:spacing w:val="-3"/>
                <w:highlight w:val="none"/>
              </w:rPr>
              <w:t>开</w:t>
            </w:r>
            <w:r>
              <w:rPr>
                <w:highlight w:val="none"/>
              </w:rPr>
              <w:t>启</w:t>
            </w:r>
          </w:p>
          <w:p>
            <w:pPr>
              <w:pStyle w:val="37"/>
              <w:shd w:val="clear"/>
              <w:tabs>
                <w:tab w:val="left" w:pos="3935"/>
              </w:tabs>
              <w:spacing w:line="321" w:lineRule="auto"/>
              <w:ind w:left="107" w:right="1069"/>
              <w:rPr>
                <w:sz w:val="27"/>
                <w:highlight w:val="none"/>
              </w:rPr>
            </w:pPr>
            <w:r>
              <w:rPr>
                <w:highlight w:val="none"/>
              </w:rPr>
              <w:t>投标</w:t>
            </w:r>
            <w:r>
              <w:rPr>
                <w:spacing w:val="-3"/>
                <w:highlight w:val="none"/>
              </w:rPr>
              <w:t>人</w:t>
            </w:r>
            <w:r>
              <w:rPr>
                <w:highlight w:val="none"/>
              </w:rPr>
              <w:t>名</w:t>
            </w:r>
            <w:r>
              <w:rPr>
                <w:spacing w:val="-3"/>
                <w:highlight w:val="none"/>
              </w:rPr>
              <w:t>称</w:t>
            </w:r>
            <w:r>
              <w:rPr>
                <w:highlight w:val="none"/>
              </w:rPr>
              <w:t>：</w:t>
            </w:r>
            <w:r>
              <w:rPr>
                <w:rFonts w:ascii="Times New Roman" w:eastAsia="Times New Roman"/>
                <w:highlight w:val="none"/>
                <w:u w:val="single"/>
              </w:rPr>
              <w:t xml:space="preserve"> </w:t>
            </w:r>
            <w:r>
              <w:rPr>
                <w:rFonts w:ascii="Times New Roman" w:eastAsia="Times New Roman"/>
                <w:highlight w:val="none"/>
                <w:u w:val="single"/>
              </w:rPr>
              <w:tab/>
            </w:r>
          </w:p>
          <w:p>
            <w:pPr>
              <w:pStyle w:val="37"/>
              <w:shd w:val="clear"/>
              <w:tabs>
                <w:tab w:val="left" w:pos="738"/>
              </w:tabs>
              <w:ind w:left="107" w:leftChars="0"/>
              <w:rPr>
                <w:rFonts w:ascii="Times New Roman"/>
                <w:color w:val="auto"/>
                <w:highlight w:val="none"/>
                <w:u w:val="single"/>
                <w:lang w:val="en-US"/>
              </w:rPr>
            </w:pPr>
            <w:r>
              <w:rPr>
                <w:rFonts w:hint="eastAsia" w:ascii="Times New Roman"/>
                <w:highlight w:val="none"/>
                <w:lang w:val="en-US"/>
              </w:rPr>
              <w:t>注：封口处加贴封条,并在封套的封口处加盖投标人单位章(鲜章)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jc w:val="center"/>
        </w:trPr>
        <w:tc>
          <w:tcPr>
            <w:tcW w:w="959" w:type="dxa"/>
            <w:noWrap w:val="0"/>
            <w:vAlign w:val="center"/>
          </w:tcPr>
          <w:p>
            <w:pPr>
              <w:pStyle w:val="37"/>
              <w:ind w:left="107" w:right="99"/>
              <w:jc w:val="center"/>
              <w:rPr>
                <w:color w:val="auto"/>
                <w:highlight w:val="none"/>
              </w:rPr>
            </w:pPr>
            <w:r>
              <w:rPr>
                <w:color w:val="auto"/>
                <w:highlight w:val="none"/>
              </w:rPr>
              <w:t>4.2.5</w:t>
            </w:r>
          </w:p>
        </w:tc>
        <w:tc>
          <w:tcPr>
            <w:tcW w:w="1924" w:type="dxa"/>
            <w:noWrap w:val="0"/>
            <w:vAlign w:val="center"/>
          </w:tcPr>
          <w:p>
            <w:pPr>
              <w:pStyle w:val="37"/>
              <w:ind w:left="107" w:right="99"/>
              <w:jc w:val="center"/>
              <w:rPr>
                <w:color w:val="auto"/>
                <w:highlight w:val="none"/>
              </w:rPr>
            </w:pPr>
            <w:r>
              <w:rPr>
                <w:color w:val="auto"/>
                <w:highlight w:val="none"/>
              </w:rPr>
              <w:t>投标文件的拒收</w:t>
            </w:r>
          </w:p>
        </w:tc>
        <w:tc>
          <w:tcPr>
            <w:tcW w:w="6408" w:type="dxa"/>
            <w:noWrap w:val="0"/>
            <w:vAlign w:val="center"/>
          </w:tcPr>
          <w:p>
            <w:pPr>
              <w:pStyle w:val="37"/>
              <w:shd w:val="clear"/>
              <w:spacing w:before="121"/>
              <w:ind w:left="107"/>
              <w:rPr>
                <w:highlight w:val="none"/>
              </w:rPr>
            </w:pPr>
            <w:r>
              <w:rPr>
                <w:highlight w:val="none"/>
              </w:rPr>
              <w:t>投标文件有下列情形之一的，招标人应当拒收：</w:t>
            </w:r>
          </w:p>
          <w:p>
            <w:pPr>
              <w:pStyle w:val="37"/>
              <w:numPr>
                <w:ilvl w:val="0"/>
                <w:numId w:val="3"/>
              </w:numPr>
              <w:shd w:val="clear"/>
              <w:tabs>
                <w:tab w:val="left" w:pos="632"/>
              </w:tabs>
              <w:spacing w:before="53"/>
              <w:jc w:val="left"/>
              <w:rPr>
                <w:highlight w:val="none"/>
              </w:rPr>
            </w:pPr>
            <w:r>
              <w:rPr>
                <w:highlight w:val="none"/>
              </w:rPr>
              <w:t>逾期送达或者未送达指定地点；</w:t>
            </w:r>
          </w:p>
          <w:p>
            <w:pPr>
              <w:pStyle w:val="37"/>
              <w:numPr>
                <w:ilvl w:val="0"/>
                <w:numId w:val="3"/>
              </w:numPr>
              <w:shd w:val="clear"/>
              <w:tabs>
                <w:tab w:val="left" w:pos="632"/>
              </w:tabs>
              <w:spacing w:before="50"/>
              <w:ind w:left="631" w:leftChars="0" w:hanging="525" w:firstLineChars="0"/>
              <w:jc w:val="left"/>
              <w:rPr>
                <w:color w:val="auto"/>
                <w:szCs w:val="21"/>
                <w:highlight w:val="none"/>
                <w:u w:val="single"/>
              </w:rPr>
            </w:pPr>
            <w:r>
              <w:rPr>
                <w:highlight w:val="none"/>
              </w:rPr>
              <w:t>未按招标文件要求密封。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959" w:type="dxa"/>
            <w:noWrap w:val="0"/>
            <w:vAlign w:val="center"/>
          </w:tcPr>
          <w:p>
            <w:pPr>
              <w:pStyle w:val="37"/>
              <w:ind w:right="98"/>
              <w:jc w:val="center"/>
              <w:rPr>
                <w:color w:val="auto"/>
                <w:highlight w:val="none"/>
              </w:rPr>
            </w:pPr>
            <w:r>
              <w:rPr>
                <w:color w:val="auto"/>
                <w:highlight w:val="none"/>
              </w:rPr>
              <w:t>5.1</w:t>
            </w:r>
          </w:p>
        </w:tc>
        <w:tc>
          <w:tcPr>
            <w:tcW w:w="1924" w:type="dxa"/>
            <w:noWrap w:val="0"/>
            <w:vAlign w:val="center"/>
          </w:tcPr>
          <w:p>
            <w:pPr>
              <w:pStyle w:val="37"/>
              <w:ind w:right="99"/>
              <w:jc w:val="center"/>
              <w:rPr>
                <w:color w:val="auto"/>
                <w:highlight w:val="none"/>
              </w:rPr>
            </w:pPr>
            <w:r>
              <w:rPr>
                <w:color w:val="auto"/>
                <w:highlight w:val="none"/>
              </w:rPr>
              <w:t>开标时间和地点</w:t>
            </w:r>
          </w:p>
        </w:tc>
        <w:tc>
          <w:tcPr>
            <w:tcW w:w="6408" w:type="dxa"/>
            <w:noWrap w:val="0"/>
            <w:vAlign w:val="center"/>
          </w:tcPr>
          <w:p>
            <w:pPr>
              <w:pStyle w:val="37"/>
              <w:shd w:val="clear"/>
              <w:spacing w:before="91" w:line="263" w:lineRule="exact"/>
              <w:ind w:left="107" w:leftChars="0"/>
              <w:rPr>
                <w:color w:val="auto"/>
                <w:szCs w:val="21"/>
                <w:highlight w:val="none"/>
                <w:u w:val="single"/>
                <w:lang w:val="en-US"/>
              </w:rPr>
            </w:pPr>
            <w:r>
              <w:rPr>
                <w:rFonts w:hint="eastAsia"/>
                <w:szCs w:val="21"/>
                <w:highlight w:val="none"/>
              </w:rPr>
              <w:t>详见公</w:t>
            </w:r>
            <w:r>
              <w:rPr>
                <w:rFonts w:hint="eastAsia"/>
                <w:szCs w:val="21"/>
                <w:highlight w:val="none"/>
                <w:lang w:val="en-US"/>
              </w:rPr>
              <w:t>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6" w:hRule="atLeast"/>
          <w:jc w:val="center"/>
        </w:trPr>
        <w:tc>
          <w:tcPr>
            <w:tcW w:w="959" w:type="dxa"/>
            <w:noWrap w:val="0"/>
            <w:vAlign w:val="center"/>
          </w:tcPr>
          <w:p>
            <w:pPr>
              <w:pStyle w:val="37"/>
              <w:ind w:right="99"/>
              <w:jc w:val="center"/>
              <w:rPr>
                <w:color w:val="auto"/>
                <w:highlight w:val="none"/>
              </w:rPr>
            </w:pPr>
            <w:r>
              <w:rPr>
                <w:color w:val="auto"/>
                <w:highlight w:val="none"/>
              </w:rPr>
              <w:t>6.1.1</w:t>
            </w:r>
          </w:p>
        </w:tc>
        <w:tc>
          <w:tcPr>
            <w:tcW w:w="1924" w:type="dxa"/>
            <w:noWrap w:val="0"/>
            <w:vAlign w:val="center"/>
          </w:tcPr>
          <w:p>
            <w:pPr>
              <w:pStyle w:val="37"/>
              <w:spacing w:line="321" w:lineRule="auto"/>
              <w:ind w:right="175"/>
              <w:jc w:val="center"/>
              <w:rPr>
                <w:color w:val="auto"/>
                <w:highlight w:val="none"/>
              </w:rPr>
            </w:pPr>
            <w:r>
              <w:rPr>
                <w:color w:val="auto"/>
                <w:highlight w:val="none"/>
              </w:rPr>
              <w:t>评标委员会的组建</w:t>
            </w:r>
          </w:p>
        </w:tc>
        <w:tc>
          <w:tcPr>
            <w:tcW w:w="6408" w:type="dxa"/>
            <w:noWrap w:val="0"/>
            <w:vAlign w:val="center"/>
          </w:tcPr>
          <w:p>
            <w:pPr>
              <w:shd w:val="clear"/>
              <w:ind w:firstLine="210" w:firstLineChars="100"/>
              <w:jc w:val="left"/>
              <w:rPr>
                <w:rFonts w:hint="eastAsia" w:eastAsia="宋体"/>
                <w:color w:val="auto"/>
                <w:spacing w:val="-1"/>
                <w:highlight w:val="none"/>
                <w:lang w:val="en-US" w:eastAsia="zh-CN"/>
              </w:rPr>
            </w:pPr>
            <w:r>
              <w:rPr>
                <w:highlight w:val="none"/>
                <w:lang w:val="zh-CN"/>
              </w:rPr>
              <w:t>评标</w:t>
            </w:r>
            <w:r>
              <w:rPr>
                <w:rFonts w:hint="eastAsia"/>
                <w:highlight w:val="none"/>
                <w:lang w:val="zh-CN"/>
              </w:rPr>
              <w:t>委员会</w:t>
            </w:r>
            <w:r>
              <w:rPr>
                <w:rFonts w:hint="eastAsia"/>
                <w:highlight w:val="none"/>
              </w:rPr>
              <w:t>:五人以上单数，其中技术、经济等方面的专家不得少于成员总数的三分之二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jc w:val="center"/>
        </w:trPr>
        <w:tc>
          <w:tcPr>
            <w:tcW w:w="959" w:type="dxa"/>
            <w:noWrap w:val="0"/>
            <w:vAlign w:val="center"/>
          </w:tcPr>
          <w:p>
            <w:pPr>
              <w:pStyle w:val="37"/>
              <w:ind w:left="107" w:right="99"/>
              <w:jc w:val="center"/>
              <w:rPr>
                <w:color w:val="auto"/>
                <w:highlight w:val="none"/>
              </w:rPr>
            </w:pPr>
            <w:r>
              <w:rPr>
                <w:rFonts w:hint="eastAsia"/>
                <w:color w:val="auto"/>
                <w:highlight w:val="none"/>
                <w:lang w:val="en-US"/>
              </w:rPr>
              <w:t>6.3.1</w:t>
            </w:r>
          </w:p>
        </w:tc>
        <w:tc>
          <w:tcPr>
            <w:tcW w:w="1924" w:type="dxa"/>
            <w:noWrap w:val="0"/>
            <w:vAlign w:val="center"/>
          </w:tcPr>
          <w:p>
            <w:pPr>
              <w:pStyle w:val="37"/>
              <w:spacing w:line="262" w:lineRule="exact"/>
              <w:ind w:left="5"/>
              <w:jc w:val="center"/>
              <w:rPr>
                <w:color w:val="auto"/>
                <w:highlight w:val="none"/>
              </w:rPr>
            </w:pPr>
            <w:r>
              <w:rPr>
                <w:rFonts w:hint="eastAsia"/>
                <w:color w:val="auto"/>
                <w:highlight w:val="none"/>
              </w:rPr>
              <w:t>评标方法</w:t>
            </w:r>
          </w:p>
        </w:tc>
        <w:tc>
          <w:tcPr>
            <w:tcW w:w="6408" w:type="dxa"/>
            <w:noWrap w:val="0"/>
            <w:vAlign w:val="center"/>
          </w:tcPr>
          <w:p>
            <w:pPr>
              <w:pStyle w:val="37"/>
              <w:shd w:val="clear"/>
              <w:ind w:firstLine="200" w:firstLineChars="100"/>
              <w:rPr>
                <w:spacing w:val="-5"/>
                <w:highlight w:val="none"/>
                <w:lang w:val="en-US"/>
              </w:rPr>
            </w:pPr>
            <w:r>
              <w:rPr>
                <w:rFonts w:hint="eastAsia"/>
                <w:spacing w:val="-5"/>
                <w:highlight w:val="none"/>
                <w:lang w:val="en-US"/>
              </w:rPr>
              <w:t xml:space="preserve">     </w:t>
            </w:r>
          </w:p>
          <w:p>
            <w:pPr>
              <w:pStyle w:val="37"/>
              <w:shd w:val="clear"/>
              <w:ind w:firstLine="200" w:firstLineChars="100"/>
              <w:rPr>
                <w:spacing w:val="-5"/>
                <w:highlight w:val="none"/>
                <w:lang w:val="en-US"/>
              </w:rPr>
            </w:pPr>
            <w:r>
              <w:rPr>
                <w:rFonts w:hint="eastAsia"/>
                <w:spacing w:val="-5"/>
                <w:highlight w:val="none"/>
                <w:lang w:val="en-US"/>
              </w:rPr>
              <w:t>综合评分法</w:t>
            </w:r>
          </w:p>
          <w:p>
            <w:pPr>
              <w:pStyle w:val="37"/>
              <w:shd w:val="clear"/>
              <w:rPr>
                <w:color w:val="auto"/>
                <w:spacing w:val="-5"/>
                <w:highlight w:val="none"/>
                <w:lang w:val="en-US"/>
              </w:rPr>
            </w:pPr>
            <w:r>
              <w:rPr>
                <w:rFonts w:hint="eastAsia"/>
                <w:spacing w:val="-5"/>
                <w:highlight w:val="none"/>
                <w:lang w:val="en-US"/>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37"/>
              <w:ind w:left="107" w:right="99"/>
              <w:jc w:val="center"/>
              <w:rPr>
                <w:color w:val="auto"/>
                <w:highlight w:val="none"/>
              </w:rPr>
            </w:pPr>
            <w:r>
              <w:rPr>
                <w:color w:val="auto"/>
                <w:highlight w:val="none"/>
              </w:rPr>
              <w:t>6.3.2</w:t>
            </w:r>
          </w:p>
        </w:tc>
        <w:tc>
          <w:tcPr>
            <w:tcW w:w="1924" w:type="dxa"/>
            <w:noWrap w:val="0"/>
            <w:vAlign w:val="center"/>
          </w:tcPr>
          <w:p>
            <w:pPr>
              <w:pStyle w:val="37"/>
              <w:spacing w:before="77" w:line="321" w:lineRule="auto"/>
              <w:ind w:left="186" w:right="175"/>
              <w:jc w:val="center"/>
              <w:rPr>
                <w:color w:val="auto"/>
                <w:highlight w:val="none"/>
              </w:rPr>
            </w:pPr>
            <w:r>
              <w:rPr>
                <w:color w:val="auto"/>
                <w:highlight w:val="none"/>
              </w:rPr>
              <w:t>评标委员会推荐中标候选人的人</w:t>
            </w:r>
          </w:p>
          <w:p>
            <w:pPr>
              <w:pStyle w:val="37"/>
              <w:spacing w:line="262" w:lineRule="exact"/>
              <w:ind w:left="5"/>
              <w:jc w:val="center"/>
              <w:rPr>
                <w:color w:val="auto"/>
                <w:highlight w:val="none"/>
              </w:rPr>
            </w:pPr>
            <w:r>
              <w:rPr>
                <w:color w:val="auto"/>
                <w:highlight w:val="none"/>
              </w:rPr>
              <w:t>数</w:t>
            </w:r>
          </w:p>
        </w:tc>
        <w:tc>
          <w:tcPr>
            <w:tcW w:w="6408" w:type="dxa"/>
            <w:noWrap w:val="0"/>
            <w:vAlign w:val="center"/>
          </w:tcPr>
          <w:p>
            <w:pPr>
              <w:pStyle w:val="37"/>
              <w:shd w:val="clear"/>
              <w:ind w:firstLine="210" w:firstLineChars="100"/>
              <w:rPr>
                <w:highlight w:val="none"/>
              </w:rPr>
            </w:pPr>
            <w:r>
              <w:rPr>
                <w:highlight w:val="none"/>
              </w:rPr>
              <w:t>3</w:t>
            </w:r>
            <w:r>
              <w:rPr>
                <w:spacing w:val="-39"/>
                <w:highlight w:val="none"/>
              </w:rPr>
              <w:t xml:space="preserve"> 名</w:t>
            </w:r>
            <w:r>
              <w:rPr>
                <w:highlight w:val="none"/>
              </w:rPr>
              <w:t>（</w:t>
            </w:r>
            <w:r>
              <w:rPr>
                <w:spacing w:val="-14"/>
                <w:highlight w:val="none"/>
              </w:rPr>
              <w:t xml:space="preserve">若不足 </w:t>
            </w:r>
            <w:r>
              <w:rPr>
                <w:highlight w:val="none"/>
              </w:rPr>
              <w:t>3</w:t>
            </w:r>
            <w:r>
              <w:rPr>
                <w:spacing w:val="-9"/>
                <w:highlight w:val="none"/>
              </w:rPr>
              <w:t xml:space="preserve"> 名，则按</w:t>
            </w:r>
            <w:r>
              <w:rPr>
                <w:rFonts w:hint="eastAsia"/>
                <w:spacing w:val="-9"/>
                <w:highlight w:val="none"/>
                <w:lang w:val="en-US"/>
              </w:rPr>
              <w:t>实际</w:t>
            </w:r>
            <w:r>
              <w:rPr>
                <w:spacing w:val="-9"/>
                <w:highlight w:val="none"/>
              </w:rPr>
              <w:t>数量推荐</w:t>
            </w:r>
            <w:r>
              <w:rPr>
                <w:spacing w:val="-22"/>
                <w:highlight w:val="none"/>
              </w:rPr>
              <w:t>）</w:t>
            </w:r>
            <w:r>
              <w:rPr>
                <w:spacing w:val="-5"/>
                <w:highlight w:val="none"/>
              </w:rPr>
              <w:t>。具体推荐原则详见评标办</w:t>
            </w:r>
          </w:p>
          <w:p>
            <w:pPr>
              <w:pStyle w:val="37"/>
              <w:shd w:val="clear"/>
              <w:ind w:firstLine="210" w:firstLineChars="100"/>
              <w:rPr>
                <w:color w:val="auto"/>
                <w:kern w:val="0"/>
                <w:highlight w:val="none"/>
              </w:rPr>
            </w:pPr>
            <w:r>
              <w:rPr>
                <w:highlight w:val="none"/>
              </w:rPr>
              <w:t>法</w:t>
            </w:r>
            <w:r>
              <w:rPr>
                <w:rFonts w:hint="eastAsia"/>
                <w:highlight w:val="none"/>
                <w:lang w:val="en-US"/>
              </w:rPr>
              <w:t>正文</w:t>
            </w:r>
            <w:r>
              <w:rPr>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 w:hRule="atLeast"/>
          <w:jc w:val="center"/>
        </w:trPr>
        <w:tc>
          <w:tcPr>
            <w:tcW w:w="959" w:type="dxa"/>
            <w:tcBorders>
              <w:bottom w:val="single" w:color="auto" w:sz="4" w:space="0"/>
            </w:tcBorders>
            <w:noWrap w:val="0"/>
            <w:vAlign w:val="center"/>
          </w:tcPr>
          <w:p>
            <w:pPr>
              <w:pStyle w:val="37"/>
              <w:ind w:left="108" w:right="98"/>
              <w:jc w:val="center"/>
              <w:rPr>
                <w:color w:val="auto"/>
                <w:highlight w:val="none"/>
                <w:lang w:val="en-US"/>
              </w:rPr>
            </w:pPr>
            <w:r>
              <w:rPr>
                <w:rFonts w:hint="eastAsia"/>
                <w:color w:val="auto"/>
                <w:highlight w:val="none"/>
                <w:lang w:val="en-US"/>
              </w:rPr>
              <w:t>6.4</w:t>
            </w:r>
          </w:p>
        </w:tc>
        <w:tc>
          <w:tcPr>
            <w:tcW w:w="1924" w:type="dxa"/>
            <w:tcBorders>
              <w:bottom w:val="single" w:color="auto" w:sz="4" w:space="0"/>
            </w:tcBorders>
            <w:noWrap w:val="0"/>
            <w:vAlign w:val="center"/>
          </w:tcPr>
          <w:p>
            <w:pPr>
              <w:pStyle w:val="37"/>
              <w:spacing w:line="321" w:lineRule="auto"/>
              <w:ind w:left="394" w:right="175" w:hanging="209"/>
              <w:jc w:val="center"/>
              <w:rPr>
                <w:color w:val="auto"/>
                <w:highlight w:val="none"/>
                <w:lang w:val="en-US"/>
              </w:rPr>
            </w:pPr>
            <w:r>
              <w:rPr>
                <w:rFonts w:hint="eastAsia"/>
                <w:color w:val="auto"/>
                <w:highlight w:val="none"/>
                <w:lang w:val="en-US"/>
              </w:rPr>
              <w:t>招标程序</w:t>
            </w:r>
          </w:p>
        </w:tc>
        <w:tc>
          <w:tcPr>
            <w:tcW w:w="6408" w:type="dxa"/>
            <w:tcBorders>
              <w:bottom w:val="single" w:color="auto" w:sz="4" w:space="0"/>
            </w:tcBorders>
            <w:noWrap w:val="0"/>
            <w:vAlign w:val="center"/>
          </w:tcPr>
          <w:p>
            <w:pPr>
              <w:pStyle w:val="37"/>
              <w:shd w:val="clear"/>
              <w:spacing w:line="259" w:lineRule="exact"/>
              <w:ind w:left="107"/>
              <w:rPr>
                <w:szCs w:val="21"/>
                <w:highlight w:val="none"/>
              </w:rPr>
            </w:pPr>
            <w:r>
              <w:rPr>
                <w:rFonts w:hint="eastAsia"/>
                <w:szCs w:val="21"/>
                <w:highlight w:val="none"/>
                <w:lang w:val="en-US"/>
              </w:rPr>
              <w:t>1、</w:t>
            </w:r>
            <w:r>
              <w:rPr>
                <w:rFonts w:hint="eastAsia"/>
                <w:szCs w:val="21"/>
                <w:highlight w:val="none"/>
              </w:rPr>
              <w:t>发布招标公告。</w:t>
            </w:r>
          </w:p>
          <w:p>
            <w:pPr>
              <w:pStyle w:val="37"/>
              <w:shd w:val="clear"/>
              <w:spacing w:line="259" w:lineRule="exact"/>
              <w:ind w:left="107"/>
              <w:rPr>
                <w:szCs w:val="21"/>
                <w:highlight w:val="none"/>
              </w:rPr>
            </w:pPr>
            <w:r>
              <w:rPr>
                <w:rFonts w:hint="eastAsia"/>
                <w:szCs w:val="21"/>
                <w:highlight w:val="none"/>
                <w:lang w:val="en-US"/>
              </w:rPr>
              <w:t>2、报名。</w:t>
            </w:r>
          </w:p>
          <w:p>
            <w:pPr>
              <w:pStyle w:val="37"/>
              <w:shd w:val="clear"/>
              <w:spacing w:line="259" w:lineRule="exact"/>
              <w:ind w:left="107"/>
              <w:rPr>
                <w:szCs w:val="21"/>
                <w:highlight w:val="none"/>
              </w:rPr>
            </w:pPr>
            <w:r>
              <w:rPr>
                <w:rFonts w:hint="eastAsia"/>
                <w:szCs w:val="21"/>
                <w:highlight w:val="none"/>
                <w:lang w:val="en-US"/>
              </w:rPr>
              <w:t>3、</w:t>
            </w:r>
            <w:r>
              <w:rPr>
                <w:rFonts w:hint="eastAsia"/>
                <w:szCs w:val="21"/>
                <w:highlight w:val="none"/>
              </w:rPr>
              <w:t>开标。</w:t>
            </w:r>
          </w:p>
          <w:p>
            <w:pPr>
              <w:pStyle w:val="37"/>
              <w:shd w:val="clear"/>
              <w:spacing w:line="259" w:lineRule="exact"/>
              <w:ind w:left="107"/>
              <w:rPr>
                <w:szCs w:val="21"/>
                <w:highlight w:val="none"/>
              </w:rPr>
            </w:pPr>
            <w:r>
              <w:rPr>
                <w:rFonts w:hint="eastAsia"/>
                <w:szCs w:val="21"/>
                <w:highlight w:val="none"/>
                <w:lang w:val="en-US"/>
              </w:rPr>
              <w:t>4、</w:t>
            </w:r>
            <w:r>
              <w:rPr>
                <w:rFonts w:hint="eastAsia"/>
                <w:szCs w:val="21"/>
                <w:highlight w:val="none"/>
              </w:rPr>
              <w:t>由评标</w:t>
            </w:r>
            <w:r>
              <w:rPr>
                <w:rFonts w:hint="eastAsia"/>
                <w:szCs w:val="21"/>
                <w:highlight w:val="none"/>
                <w:lang w:val="en-US"/>
              </w:rPr>
              <w:t>委员会</w:t>
            </w:r>
            <w:r>
              <w:rPr>
                <w:rFonts w:hint="eastAsia"/>
                <w:szCs w:val="21"/>
                <w:highlight w:val="none"/>
              </w:rPr>
              <w:t>成员针对投标文件进行评标。</w:t>
            </w:r>
          </w:p>
          <w:p>
            <w:pPr>
              <w:pStyle w:val="37"/>
              <w:shd w:val="clear"/>
              <w:spacing w:line="259" w:lineRule="exact"/>
              <w:ind w:left="107"/>
              <w:rPr>
                <w:szCs w:val="21"/>
                <w:highlight w:val="none"/>
              </w:rPr>
            </w:pPr>
            <w:r>
              <w:rPr>
                <w:rFonts w:hint="eastAsia"/>
                <w:szCs w:val="21"/>
                <w:highlight w:val="none"/>
                <w:lang w:val="en-US"/>
              </w:rPr>
              <w:t>5、</w:t>
            </w:r>
            <w:r>
              <w:rPr>
                <w:rFonts w:hint="eastAsia"/>
                <w:szCs w:val="21"/>
                <w:highlight w:val="none"/>
              </w:rPr>
              <w:t>评标</w:t>
            </w:r>
            <w:r>
              <w:rPr>
                <w:rFonts w:hint="eastAsia"/>
                <w:szCs w:val="21"/>
                <w:highlight w:val="none"/>
                <w:lang w:val="en-US"/>
              </w:rPr>
              <w:t>委员会</w:t>
            </w:r>
            <w:r>
              <w:rPr>
                <w:rFonts w:hint="eastAsia"/>
                <w:szCs w:val="21"/>
                <w:highlight w:val="none"/>
              </w:rPr>
              <w:t>向招标人提交书面评标报告和中标候选人名单。</w:t>
            </w:r>
          </w:p>
          <w:p>
            <w:pPr>
              <w:pStyle w:val="37"/>
              <w:shd w:val="clear"/>
              <w:spacing w:line="259" w:lineRule="exact"/>
              <w:ind w:left="107"/>
              <w:rPr>
                <w:szCs w:val="21"/>
                <w:highlight w:val="none"/>
              </w:rPr>
            </w:pPr>
            <w:r>
              <w:rPr>
                <w:rFonts w:hint="eastAsia"/>
                <w:szCs w:val="21"/>
                <w:highlight w:val="none"/>
                <w:lang w:val="en-US"/>
              </w:rPr>
              <w:t>6、</w:t>
            </w:r>
            <w:r>
              <w:rPr>
                <w:rFonts w:hint="eastAsia"/>
                <w:szCs w:val="21"/>
                <w:highlight w:val="none"/>
              </w:rPr>
              <w:t>招标人</w:t>
            </w:r>
            <w:r>
              <w:rPr>
                <w:rFonts w:hint="eastAsia"/>
                <w:szCs w:val="21"/>
                <w:highlight w:val="none"/>
                <w:lang w:val="en-US"/>
              </w:rPr>
              <w:t>招标委员会</w:t>
            </w:r>
            <w:r>
              <w:rPr>
                <w:rFonts w:hint="eastAsia"/>
                <w:szCs w:val="21"/>
                <w:highlight w:val="none"/>
              </w:rPr>
              <w:t>确定中标单位。</w:t>
            </w:r>
          </w:p>
          <w:p>
            <w:pPr>
              <w:pStyle w:val="37"/>
              <w:shd w:val="clear"/>
              <w:spacing w:line="259" w:lineRule="exact"/>
              <w:ind w:left="107"/>
              <w:rPr>
                <w:szCs w:val="21"/>
                <w:highlight w:val="none"/>
              </w:rPr>
            </w:pPr>
            <w:r>
              <w:rPr>
                <w:rFonts w:hint="eastAsia"/>
                <w:szCs w:val="21"/>
                <w:highlight w:val="none"/>
                <w:lang w:val="en-US"/>
              </w:rPr>
              <w:t>7、</w:t>
            </w:r>
            <w:r>
              <w:rPr>
                <w:rFonts w:hint="eastAsia"/>
                <w:szCs w:val="21"/>
                <w:highlight w:val="none"/>
              </w:rPr>
              <w:t>中标结果公示。</w:t>
            </w:r>
          </w:p>
          <w:p>
            <w:pPr>
              <w:pStyle w:val="37"/>
              <w:shd w:val="clear"/>
              <w:spacing w:line="259" w:lineRule="exact"/>
              <w:ind w:left="107" w:leftChars="0"/>
              <w:rPr>
                <w:color w:val="auto"/>
                <w:szCs w:val="21"/>
                <w:highlight w:val="none"/>
              </w:rPr>
            </w:pPr>
            <w:r>
              <w:rPr>
                <w:rFonts w:hint="eastAsia"/>
                <w:szCs w:val="21"/>
                <w:highlight w:val="none"/>
                <w:lang w:val="en-US"/>
              </w:rPr>
              <w:t>8、</w:t>
            </w:r>
            <w:r>
              <w:rPr>
                <w:rFonts w:hint="eastAsia"/>
                <w:szCs w:val="21"/>
                <w:highlight w:val="none"/>
              </w:rPr>
              <w:t>合同谈判并签订合同。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jc w:val="center"/>
        </w:trPr>
        <w:tc>
          <w:tcPr>
            <w:tcW w:w="959" w:type="dxa"/>
            <w:tcBorders>
              <w:top w:val="single" w:color="auto" w:sz="4" w:space="0"/>
            </w:tcBorders>
            <w:noWrap w:val="0"/>
            <w:vAlign w:val="center"/>
          </w:tcPr>
          <w:p>
            <w:pPr>
              <w:pStyle w:val="37"/>
              <w:ind w:left="108" w:right="98"/>
              <w:jc w:val="center"/>
              <w:rPr>
                <w:color w:val="auto"/>
                <w:highlight w:val="none"/>
              </w:rPr>
            </w:pPr>
            <w:r>
              <w:rPr>
                <w:color w:val="auto"/>
                <w:highlight w:val="none"/>
              </w:rPr>
              <w:t>7.1</w:t>
            </w:r>
          </w:p>
        </w:tc>
        <w:tc>
          <w:tcPr>
            <w:tcW w:w="1924" w:type="dxa"/>
            <w:tcBorders>
              <w:top w:val="single" w:color="auto" w:sz="4" w:space="0"/>
            </w:tcBorders>
            <w:noWrap w:val="0"/>
            <w:vAlign w:val="center"/>
          </w:tcPr>
          <w:p>
            <w:pPr>
              <w:pStyle w:val="37"/>
              <w:spacing w:line="360" w:lineRule="auto"/>
              <w:ind w:left="394" w:right="175" w:hanging="209"/>
              <w:jc w:val="center"/>
              <w:rPr>
                <w:color w:val="auto"/>
                <w:highlight w:val="none"/>
              </w:rPr>
            </w:pPr>
            <w:r>
              <w:rPr>
                <w:rFonts w:hint="eastAsia"/>
                <w:color w:val="auto"/>
                <w:highlight w:val="none"/>
              </w:rPr>
              <w:t>定</w:t>
            </w:r>
            <w:r>
              <w:rPr>
                <w:color w:val="auto"/>
                <w:highlight w:val="none"/>
              </w:rPr>
              <w:t>标</w:t>
            </w:r>
            <w:r>
              <w:rPr>
                <w:rFonts w:hint="eastAsia"/>
                <w:color w:val="auto"/>
                <w:highlight w:val="none"/>
              </w:rPr>
              <w:t>结果</w:t>
            </w:r>
            <w:r>
              <w:rPr>
                <w:color w:val="auto"/>
                <w:highlight w:val="none"/>
              </w:rPr>
              <w:t>公示媒介及期限</w:t>
            </w:r>
          </w:p>
        </w:tc>
        <w:tc>
          <w:tcPr>
            <w:tcW w:w="6408" w:type="dxa"/>
            <w:tcBorders>
              <w:top w:val="single" w:color="auto" w:sz="4" w:space="0"/>
            </w:tcBorders>
            <w:noWrap w:val="0"/>
            <w:vAlign w:val="center"/>
          </w:tcPr>
          <w:p>
            <w:pPr>
              <w:pStyle w:val="37"/>
              <w:shd w:val="clear"/>
              <w:spacing w:line="360" w:lineRule="auto"/>
              <w:rPr>
                <w:color w:val="auto"/>
                <w:kern w:val="0"/>
                <w:szCs w:val="21"/>
                <w:highlight w:val="none"/>
              </w:rPr>
            </w:pPr>
            <w:r>
              <w:rPr>
                <w:rFonts w:hint="eastAsia"/>
                <w:szCs w:val="21"/>
                <w:highlight w:val="none"/>
                <w:lang w:val="en-US"/>
              </w:rPr>
              <w:t>招标人在确定中标人之日起3日内，将定标结果在四川省交通建设集团股份有限公司官网（http://www.scjtgc.com/）上公示 3 个工作日以接受社会公开监督。投标人或者其他利害关系人对定标结果有异议的，应当在公示期间提出。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37"/>
              <w:spacing w:before="1"/>
              <w:ind w:right="98"/>
              <w:jc w:val="center"/>
              <w:rPr>
                <w:color w:val="auto"/>
                <w:highlight w:val="none"/>
              </w:rPr>
            </w:pPr>
            <w:r>
              <w:rPr>
                <w:color w:val="auto"/>
                <w:highlight w:val="none"/>
              </w:rPr>
              <w:t>7.4</w:t>
            </w:r>
          </w:p>
        </w:tc>
        <w:tc>
          <w:tcPr>
            <w:tcW w:w="1924" w:type="dxa"/>
            <w:noWrap w:val="0"/>
            <w:vAlign w:val="center"/>
          </w:tcPr>
          <w:p>
            <w:pPr>
              <w:pStyle w:val="37"/>
              <w:spacing w:line="321" w:lineRule="auto"/>
              <w:ind w:right="175"/>
              <w:jc w:val="center"/>
              <w:rPr>
                <w:color w:val="auto"/>
                <w:highlight w:val="none"/>
              </w:rPr>
            </w:pPr>
            <w:r>
              <w:rPr>
                <w:color w:val="auto"/>
                <w:highlight w:val="none"/>
              </w:rPr>
              <w:t>是否授权评标委员会确定中标人</w:t>
            </w:r>
          </w:p>
        </w:tc>
        <w:tc>
          <w:tcPr>
            <w:tcW w:w="6408" w:type="dxa"/>
            <w:noWrap w:val="0"/>
            <w:vAlign w:val="center"/>
          </w:tcPr>
          <w:p>
            <w:pPr>
              <w:pStyle w:val="37"/>
              <w:shd w:val="clear"/>
              <w:spacing w:before="78"/>
              <w:ind w:right="5608" w:firstLine="210" w:firstLineChars="100"/>
              <w:rPr>
                <w:highlight w:val="none"/>
              </w:rPr>
            </w:pPr>
            <w:r>
              <w:rPr>
                <w:rFonts w:hint="eastAsia"/>
                <w:highlight w:val="none"/>
                <w:lang w:val="en-US"/>
              </w:rPr>
              <w:t>□</w:t>
            </w:r>
            <w:r>
              <w:rPr>
                <w:highlight w:val="none"/>
              </w:rPr>
              <w:t>是</w:t>
            </w:r>
          </w:p>
          <w:p>
            <w:pPr>
              <w:pStyle w:val="37"/>
              <w:shd w:val="clear"/>
              <w:tabs>
                <w:tab w:val="left" w:pos="431"/>
              </w:tabs>
              <w:spacing w:before="91"/>
              <w:ind w:right="5608" w:rightChars="0"/>
              <w:jc w:val="center"/>
              <w:rPr>
                <w:color w:val="auto"/>
                <w:highlight w:val="none"/>
              </w:rPr>
            </w:pPr>
            <w:r>
              <w:rPr>
                <w:rFonts w:hint="eastAsia"/>
                <w:highlight w:val="none"/>
                <w:lang w:val="en-US"/>
              </w:rPr>
              <w:t>☑</w:t>
            </w:r>
            <w:r>
              <w:rPr>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37"/>
              <w:ind w:left="108" w:right="98"/>
              <w:jc w:val="center"/>
              <w:rPr>
                <w:color w:val="auto"/>
                <w:highlight w:val="none"/>
              </w:rPr>
            </w:pPr>
            <w:r>
              <w:rPr>
                <w:color w:val="auto"/>
                <w:highlight w:val="none"/>
              </w:rPr>
              <w:t>7.5</w:t>
            </w:r>
          </w:p>
        </w:tc>
        <w:tc>
          <w:tcPr>
            <w:tcW w:w="1924" w:type="dxa"/>
            <w:noWrap w:val="0"/>
            <w:vAlign w:val="center"/>
          </w:tcPr>
          <w:p>
            <w:pPr>
              <w:pStyle w:val="37"/>
              <w:spacing w:line="360" w:lineRule="exact"/>
              <w:ind w:left="186" w:right="175"/>
              <w:jc w:val="center"/>
              <w:rPr>
                <w:color w:val="auto"/>
                <w:highlight w:val="none"/>
              </w:rPr>
            </w:pPr>
            <w:r>
              <w:rPr>
                <w:color w:val="auto"/>
                <w:highlight w:val="none"/>
              </w:rPr>
              <w:t>中标通知书和中标结果通知发出的形式</w:t>
            </w:r>
          </w:p>
        </w:tc>
        <w:tc>
          <w:tcPr>
            <w:tcW w:w="6408" w:type="dxa"/>
            <w:noWrap w:val="0"/>
            <w:vAlign w:val="center"/>
          </w:tcPr>
          <w:p>
            <w:pPr>
              <w:pStyle w:val="37"/>
              <w:shd w:val="clear"/>
              <w:ind w:left="107" w:leftChars="0"/>
              <w:rPr>
                <w:color w:val="auto"/>
                <w:highlight w:val="none"/>
              </w:rPr>
            </w:pPr>
            <w:r>
              <w:rPr>
                <w:highlight w:val="none"/>
              </w:rPr>
              <w:t>书面形式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4" w:hRule="atLeast"/>
          <w:jc w:val="center"/>
        </w:trPr>
        <w:tc>
          <w:tcPr>
            <w:tcW w:w="959" w:type="dxa"/>
            <w:noWrap w:val="0"/>
            <w:vAlign w:val="center"/>
          </w:tcPr>
          <w:p>
            <w:pPr>
              <w:pStyle w:val="37"/>
              <w:ind w:left="107" w:right="99"/>
              <w:jc w:val="center"/>
              <w:rPr>
                <w:color w:val="auto"/>
                <w:highlight w:val="none"/>
              </w:rPr>
            </w:pPr>
            <w:r>
              <w:rPr>
                <w:color w:val="auto"/>
                <w:highlight w:val="none"/>
              </w:rPr>
              <w:t>7.7.1</w:t>
            </w:r>
          </w:p>
        </w:tc>
        <w:tc>
          <w:tcPr>
            <w:tcW w:w="1924" w:type="dxa"/>
            <w:noWrap w:val="0"/>
            <w:vAlign w:val="center"/>
          </w:tcPr>
          <w:p>
            <w:pPr>
              <w:pStyle w:val="37"/>
              <w:ind w:left="104" w:right="99"/>
              <w:jc w:val="center"/>
              <w:rPr>
                <w:color w:val="auto"/>
                <w:highlight w:val="none"/>
              </w:rPr>
            </w:pPr>
            <w:r>
              <w:rPr>
                <w:color w:val="auto"/>
                <w:highlight w:val="none"/>
              </w:rPr>
              <w:t>履约保证金</w:t>
            </w:r>
          </w:p>
        </w:tc>
        <w:tc>
          <w:tcPr>
            <w:tcW w:w="6408" w:type="dxa"/>
            <w:noWrap w:val="0"/>
            <w:vAlign w:val="center"/>
          </w:tcPr>
          <w:p>
            <w:pPr>
              <w:pStyle w:val="37"/>
              <w:shd w:val="clear"/>
              <w:spacing w:before="78"/>
              <w:ind w:left="107"/>
              <w:rPr>
                <w:highlight w:val="none"/>
              </w:rPr>
            </w:pPr>
            <w:r>
              <w:rPr>
                <w:highlight w:val="none"/>
              </w:rPr>
              <w:t>是否要求中标人提交履约保证金：</w:t>
            </w:r>
          </w:p>
          <w:p>
            <w:pPr>
              <w:pStyle w:val="37"/>
              <w:shd w:val="clear"/>
              <w:tabs>
                <w:tab w:val="left" w:pos="548"/>
              </w:tabs>
              <w:spacing w:before="91"/>
              <w:ind w:firstLine="210" w:firstLineChars="100"/>
              <w:rPr>
                <w:highlight w:val="none"/>
              </w:rPr>
            </w:pPr>
            <w:r>
              <w:rPr>
                <w:rFonts w:hint="eastAsia"/>
                <w:highlight w:val="none"/>
                <w:lang w:val="en-US"/>
              </w:rPr>
              <w:t>☑</w:t>
            </w:r>
            <w:r>
              <w:rPr>
                <w:highlight w:val="none"/>
              </w:rPr>
              <w:t>要求</w:t>
            </w:r>
          </w:p>
          <w:p>
            <w:pPr>
              <w:pStyle w:val="37"/>
              <w:shd w:val="clear"/>
              <w:tabs>
                <w:tab w:val="left" w:pos="632"/>
              </w:tabs>
              <w:spacing w:before="91"/>
              <w:ind w:firstLine="210" w:firstLineChars="100"/>
              <w:jc w:val="left"/>
              <w:rPr>
                <w:highlight w:val="none"/>
              </w:rPr>
            </w:pPr>
            <w:r>
              <w:rPr>
                <w:rFonts w:hint="eastAsia"/>
                <w:highlight w:val="none"/>
                <w:lang w:val="en-US"/>
              </w:rPr>
              <w:t>□</w:t>
            </w:r>
            <w:r>
              <w:rPr>
                <w:highlight w:val="none"/>
              </w:rPr>
              <w:t>不要求</w:t>
            </w:r>
          </w:p>
          <w:p>
            <w:pPr>
              <w:pStyle w:val="37"/>
              <w:numPr>
                <w:ilvl w:val="0"/>
                <w:numId w:val="4"/>
              </w:numPr>
              <w:shd w:val="clear"/>
              <w:tabs>
                <w:tab w:val="left" w:pos="632"/>
              </w:tabs>
              <w:spacing w:before="91"/>
              <w:jc w:val="left"/>
              <w:rPr>
                <w:highlight w:val="none"/>
              </w:rPr>
            </w:pPr>
            <w:r>
              <w:rPr>
                <w:highlight w:val="none"/>
              </w:rPr>
              <w:t>履约保证金的形式：银行保函或现金、支票等形式。</w:t>
            </w:r>
          </w:p>
          <w:p>
            <w:pPr>
              <w:pStyle w:val="37"/>
              <w:numPr>
                <w:ilvl w:val="0"/>
                <w:numId w:val="4"/>
              </w:numPr>
              <w:shd w:val="clear"/>
              <w:tabs>
                <w:tab w:val="left" w:pos="632"/>
              </w:tabs>
              <w:spacing w:before="91"/>
              <w:jc w:val="left"/>
              <w:rPr>
                <w:highlight w:val="none"/>
              </w:rPr>
            </w:pPr>
            <w:r>
              <w:rPr>
                <w:highlight w:val="none"/>
              </w:rPr>
              <w:t>履约保证金的金额：</w:t>
            </w:r>
            <w:r>
              <w:rPr>
                <w:rFonts w:hint="eastAsia"/>
                <w:highlight w:val="none"/>
              </w:rPr>
              <w:t>见招标公告</w:t>
            </w:r>
          </w:p>
          <w:p>
            <w:pPr>
              <w:pStyle w:val="37"/>
              <w:numPr>
                <w:ilvl w:val="0"/>
                <w:numId w:val="4"/>
              </w:numPr>
              <w:shd w:val="clear"/>
              <w:tabs>
                <w:tab w:val="left" w:pos="632"/>
              </w:tabs>
              <w:spacing w:before="91"/>
              <w:jc w:val="left"/>
              <w:rPr>
                <w:highlight w:val="none"/>
              </w:rPr>
            </w:pPr>
            <w:r>
              <w:rPr>
                <w:highlight w:val="none"/>
              </w:rPr>
              <w:t>银行保函应由支行及以上国有或股份制商业银行开具；现金、 支票等形式的履约担保必须从投标人基本帐户中转出或开具。</w:t>
            </w:r>
          </w:p>
          <w:p>
            <w:pPr>
              <w:pStyle w:val="37"/>
              <w:numPr>
                <w:ilvl w:val="0"/>
                <w:numId w:val="4"/>
              </w:numPr>
              <w:shd w:val="clear"/>
              <w:tabs>
                <w:tab w:val="left" w:pos="632"/>
              </w:tabs>
              <w:spacing w:before="91"/>
              <w:jc w:val="left"/>
              <w:rPr>
                <w:highlight w:val="none"/>
              </w:rPr>
            </w:pPr>
            <w:r>
              <w:rPr>
                <w:highlight w:val="none"/>
              </w:rPr>
              <w:t>提交履约担保时间：签订合同协议书之前。</w:t>
            </w:r>
          </w:p>
          <w:p>
            <w:pPr>
              <w:pStyle w:val="37"/>
              <w:shd w:val="clear"/>
              <w:spacing w:before="91" w:line="262" w:lineRule="exact"/>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37"/>
              <w:ind w:left="107" w:right="99"/>
              <w:jc w:val="center"/>
              <w:rPr>
                <w:color w:val="auto"/>
                <w:highlight w:val="none"/>
              </w:rPr>
            </w:pPr>
            <w:r>
              <w:rPr>
                <w:color w:val="auto"/>
                <w:highlight w:val="none"/>
              </w:rPr>
              <w:t>7.8.1</w:t>
            </w:r>
          </w:p>
        </w:tc>
        <w:tc>
          <w:tcPr>
            <w:tcW w:w="1924" w:type="dxa"/>
            <w:noWrap w:val="0"/>
            <w:vAlign w:val="center"/>
          </w:tcPr>
          <w:p>
            <w:pPr>
              <w:pStyle w:val="37"/>
              <w:ind w:left="104" w:right="99"/>
              <w:jc w:val="center"/>
              <w:rPr>
                <w:color w:val="auto"/>
                <w:highlight w:val="none"/>
              </w:rPr>
            </w:pPr>
            <w:r>
              <w:rPr>
                <w:color w:val="auto"/>
                <w:highlight w:val="none"/>
              </w:rPr>
              <w:t>签订合同</w:t>
            </w:r>
          </w:p>
        </w:tc>
        <w:tc>
          <w:tcPr>
            <w:tcW w:w="6408" w:type="dxa"/>
            <w:noWrap w:val="0"/>
            <w:vAlign w:val="center"/>
          </w:tcPr>
          <w:p>
            <w:pPr>
              <w:pStyle w:val="37"/>
              <w:shd w:val="clear"/>
              <w:spacing w:before="77"/>
              <w:ind w:left="107"/>
              <w:rPr>
                <w:highlight w:val="none"/>
              </w:rPr>
            </w:pPr>
            <w:r>
              <w:rPr>
                <w:spacing w:val="-4"/>
                <w:highlight w:val="none"/>
              </w:rPr>
              <w:t>在招标人发出中标通知书之日起</w:t>
            </w:r>
            <w:r>
              <w:rPr>
                <w:rFonts w:hint="eastAsia"/>
                <w:highlight w:val="none"/>
                <w:lang w:val="en-US"/>
              </w:rPr>
              <w:t>30</w:t>
            </w:r>
            <w:r>
              <w:rPr>
                <w:spacing w:val="-10"/>
                <w:highlight w:val="none"/>
              </w:rPr>
              <w:t>天内，中标人与</w:t>
            </w:r>
            <w:r>
              <w:rPr>
                <w:rFonts w:hint="eastAsia"/>
                <w:spacing w:val="-10"/>
                <w:highlight w:val="none"/>
              </w:rPr>
              <w:t>招标人</w:t>
            </w:r>
            <w:r>
              <w:rPr>
                <w:spacing w:val="-10"/>
                <w:highlight w:val="none"/>
              </w:rPr>
              <w:t>签订合同</w:t>
            </w:r>
          </w:p>
          <w:p>
            <w:pPr>
              <w:pStyle w:val="37"/>
              <w:shd w:val="clear"/>
              <w:spacing w:before="91" w:line="262" w:lineRule="exact"/>
              <w:ind w:left="107" w:leftChars="0"/>
              <w:rPr>
                <w:color w:val="auto"/>
                <w:highlight w:val="none"/>
              </w:rPr>
            </w:pPr>
            <w:r>
              <w:rPr>
                <w:highlight w:val="none"/>
              </w:rPr>
              <w:t>协议书。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37"/>
              <w:ind w:left="10"/>
              <w:jc w:val="center"/>
              <w:rPr>
                <w:color w:val="auto"/>
                <w:highlight w:val="none"/>
              </w:rPr>
            </w:pPr>
            <w:r>
              <w:rPr>
                <w:color w:val="auto"/>
                <w:highlight w:val="none"/>
              </w:rPr>
              <w:t>8.5.1</w:t>
            </w:r>
          </w:p>
        </w:tc>
        <w:tc>
          <w:tcPr>
            <w:tcW w:w="1924" w:type="dxa"/>
            <w:noWrap w:val="0"/>
            <w:vAlign w:val="center"/>
          </w:tcPr>
          <w:p>
            <w:pPr>
              <w:pStyle w:val="37"/>
              <w:spacing w:line="360" w:lineRule="exact"/>
              <w:ind w:left="606" w:right="175" w:hanging="420"/>
              <w:jc w:val="center"/>
              <w:rPr>
                <w:color w:val="auto"/>
                <w:highlight w:val="none"/>
              </w:rPr>
            </w:pPr>
            <w:r>
              <w:rPr>
                <w:color w:val="auto"/>
                <w:highlight w:val="none"/>
              </w:rPr>
              <w:t>监督部门</w:t>
            </w:r>
          </w:p>
        </w:tc>
        <w:tc>
          <w:tcPr>
            <w:tcW w:w="6408" w:type="dxa"/>
            <w:noWrap w:val="0"/>
            <w:vAlign w:val="center"/>
          </w:tcPr>
          <w:p>
            <w:pPr>
              <w:pStyle w:val="37"/>
              <w:spacing w:before="91" w:line="262" w:lineRule="exact"/>
              <w:rPr>
                <w:color w:val="auto"/>
                <w:highlight w:val="none"/>
                <w:lang w:val="en-US"/>
              </w:rPr>
            </w:pPr>
            <w:r>
              <w:rPr>
                <w:rFonts w:hint="eastAsia"/>
                <w:color w:val="auto"/>
                <w:highlight w:val="none"/>
                <w:lang w:val="en-US"/>
              </w:rPr>
              <w:t xml:space="preserve"> </w:t>
            </w:r>
            <w:r>
              <w:rPr>
                <w:rFonts w:hint="eastAsia"/>
                <w:color w:val="auto"/>
                <w:highlight w:val="none"/>
                <w:lang w:val="en-US" w:eastAsia="zh-CN"/>
              </w:rPr>
              <w:t>四川省交通建设集团股份有限公司</w:t>
            </w:r>
            <w:r>
              <w:rPr>
                <w:rFonts w:hint="eastAsia"/>
                <w:color w:val="auto"/>
                <w:highlight w:val="none"/>
                <w:lang w:val="en-US"/>
              </w:rPr>
              <w:t>纪检监察部。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37"/>
              <w:ind w:left="10"/>
              <w:jc w:val="center"/>
              <w:rPr>
                <w:color w:val="auto"/>
                <w:highlight w:val="none"/>
              </w:rPr>
            </w:pPr>
            <w:r>
              <w:rPr>
                <w:color w:val="auto"/>
                <w:highlight w:val="none"/>
              </w:rPr>
              <w:t>9</w:t>
            </w:r>
          </w:p>
        </w:tc>
        <w:tc>
          <w:tcPr>
            <w:tcW w:w="1924" w:type="dxa"/>
            <w:noWrap w:val="0"/>
            <w:vAlign w:val="center"/>
          </w:tcPr>
          <w:p>
            <w:pPr>
              <w:pStyle w:val="37"/>
              <w:spacing w:line="360" w:lineRule="exact"/>
              <w:ind w:left="606" w:right="175" w:hanging="420"/>
              <w:rPr>
                <w:color w:val="auto"/>
                <w:highlight w:val="none"/>
              </w:rPr>
            </w:pPr>
            <w:r>
              <w:rPr>
                <w:color w:val="auto"/>
                <w:highlight w:val="none"/>
              </w:rPr>
              <w:t>是否采用电子招标投标</w:t>
            </w:r>
          </w:p>
        </w:tc>
        <w:tc>
          <w:tcPr>
            <w:tcW w:w="6408" w:type="dxa"/>
            <w:noWrap w:val="0"/>
            <w:vAlign w:val="center"/>
          </w:tcPr>
          <w:p>
            <w:pPr>
              <w:pStyle w:val="37"/>
              <w:tabs>
                <w:tab w:val="left" w:pos="548"/>
              </w:tabs>
              <w:spacing w:before="78"/>
              <w:ind w:firstLine="210" w:firstLineChars="100"/>
              <w:rPr>
                <w:color w:val="auto"/>
                <w:highlight w:val="none"/>
              </w:rPr>
            </w:pPr>
            <w:r>
              <w:rPr>
                <w:rFonts w:hint="eastAsia"/>
                <w:w w:val="100"/>
                <w:sz w:val="21"/>
                <w:highlight w:val="none"/>
                <w:lang w:val="en-US" w:eastAsia="zh-CN"/>
              </w:rPr>
              <w:t xml:space="preserve">☑ </w:t>
            </w:r>
            <w:r>
              <w:rPr>
                <w:color w:val="auto"/>
                <w:highlight w:val="none"/>
              </w:rPr>
              <w:t>否</w:t>
            </w:r>
          </w:p>
          <w:p>
            <w:pPr>
              <w:pStyle w:val="37"/>
              <w:spacing w:before="91" w:line="262" w:lineRule="exact"/>
              <w:ind w:firstLine="210" w:firstLineChars="100"/>
              <w:rPr>
                <w:color w:val="auto"/>
                <w:highlight w:val="none"/>
              </w:rPr>
            </w:pPr>
            <w:r>
              <w:rPr>
                <w:rFonts w:hint="eastAsia"/>
                <w:w w:val="100"/>
                <w:sz w:val="21"/>
                <w:highlight w:val="none"/>
                <w:lang w:val="en-US" w:eastAsia="zh-CN"/>
              </w:rPr>
              <w:t xml:space="preserve">□ </w:t>
            </w:r>
            <w:r>
              <w:rPr>
                <w:color w:val="auto"/>
                <w:highlight w:val="none"/>
              </w:rPr>
              <w:t>是，具体要求：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trPr>
        <w:tc>
          <w:tcPr>
            <w:tcW w:w="9291" w:type="dxa"/>
            <w:gridSpan w:val="3"/>
            <w:noWrap w:val="0"/>
            <w:vAlign w:val="center"/>
          </w:tcPr>
          <w:p>
            <w:pPr>
              <w:pStyle w:val="37"/>
              <w:spacing w:before="91" w:line="262" w:lineRule="exact"/>
              <w:jc w:val="center"/>
              <w:rPr>
                <w:color w:val="auto"/>
                <w:highlight w:val="none"/>
                <w:lang w:val="en-US" w:bidi="ar-SA"/>
              </w:rPr>
            </w:pPr>
            <w:r>
              <w:rPr>
                <w:rFonts w:hint="eastAsia"/>
                <w:color w:val="auto"/>
                <w:highlight w:val="none"/>
                <w:lang w:val="en-US" w:bidi="ar-SA"/>
              </w:rPr>
              <w:t>需要补充的其他内容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37"/>
              <w:ind w:left="10"/>
              <w:jc w:val="center"/>
              <w:rPr>
                <w:rFonts w:hint="default" w:eastAsia="宋体"/>
                <w:color w:val="auto"/>
                <w:highlight w:val="none"/>
                <w:lang w:val="en-US" w:eastAsia="zh-CN"/>
              </w:rPr>
            </w:pPr>
            <w:r>
              <w:rPr>
                <w:rFonts w:hint="eastAsia"/>
                <w:color w:val="auto"/>
                <w:highlight w:val="none"/>
                <w:lang w:val="en-US" w:eastAsia="zh-CN"/>
              </w:rPr>
              <w:t>10.1</w:t>
            </w:r>
          </w:p>
        </w:tc>
        <w:tc>
          <w:tcPr>
            <w:tcW w:w="8332" w:type="dxa"/>
            <w:gridSpan w:val="2"/>
            <w:noWrap w:val="0"/>
            <w:vAlign w:val="center"/>
          </w:tcPr>
          <w:p>
            <w:pPr>
              <w:pStyle w:val="37"/>
              <w:shd w:val="clear"/>
              <w:spacing w:before="91" w:line="262" w:lineRule="exact"/>
              <w:rPr>
                <w:highlight w:val="none"/>
                <w:lang w:val="en-US" w:bidi="ar-SA"/>
              </w:rPr>
            </w:pPr>
            <w:r>
              <w:rPr>
                <w:rFonts w:hint="eastAsia"/>
                <w:highlight w:val="none"/>
                <w:lang w:val="en-US" w:bidi="ar-SA"/>
              </w:rPr>
              <w:t xml:space="preserve">出现下列特殊情况之一，招标人可重新招标： </w:t>
            </w:r>
          </w:p>
          <w:p>
            <w:pPr>
              <w:pStyle w:val="37"/>
              <w:shd w:val="clear"/>
              <w:spacing w:before="91" w:line="262" w:lineRule="exact"/>
              <w:rPr>
                <w:highlight w:val="none"/>
                <w:lang w:val="en-US" w:bidi="ar-SA"/>
              </w:rPr>
            </w:pPr>
            <w:r>
              <w:rPr>
                <w:rFonts w:hint="eastAsia"/>
                <w:highlight w:val="none"/>
                <w:lang w:val="en-US" w:bidi="ar-SA"/>
              </w:rPr>
              <w:t xml:space="preserve">（1）投标截止时间止，递交投标文件的投标人少于三个的； </w:t>
            </w:r>
          </w:p>
          <w:p>
            <w:pPr>
              <w:pStyle w:val="37"/>
              <w:shd w:val="clear"/>
              <w:spacing w:before="91" w:line="262" w:lineRule="exact"/>
              <w:rPr>
                <w:highlight w:val="none"/>
                <w:lang w:val="en-US" w:bidi="ar-SA"/>
              </w:rPr>
            </w:pPr>
            <w:r>
              <w:rPr>
                <w:rFonts w:hint="eastAsia"/>
                <w:highlight w:val="none"/>
                <w:lang w:val="en-US" w:bidi="ar-SA"/>
              </w:rPr>
              <w:t>（2）经评标委员会评审后否决所有投标的； （有效中标候选人仅1家，且明显不具有竞争力的）；</w:t>
            </w:r>
          </w:p>
          <w:p>
            <w:pPr>
              <w:pStyle w:val="37"/>
              <w:shd w:val="clear"/>
              <w:spacing w:before="91" w:line="262" w:lineRule="exact"/>
              <w:rPr>
                <w:highlight w:val="none"/>
                <w:lang w:val="en-US" w:bidi="ar-SA"/>
              </w:rPr>
            </w:pPr>
            <w:r>
              <w:rPr>
                <w:rFonts w:hint="eastAsia"/>
                <w:highlight w:val="none"/>
                <w:lang w:val="en-US" w:bidi="ar-SA"/>
              </w:rPr>
              <w:t>（3）评标委员会推荐的中标候选人均未与招标人签订合同的；</w:t>
            </w:r>
          </w:p>
          <w:p>
            <w:pPr>
              <w:pStyle w:val="37"/>
              <w:shd w:val="clear"/>
              <w:spacing w:before="91" w:line="262" w:lineRule="exact"/>
              <w:rPr>
                <w:rFonts w:hint="eastAsia"/>
                <w:color w:val="auto"/>
                <w:highlight w:val="none"/>
                <w:lang w:val="en-US" w:eastAsia="zh-CN" w:bidi="ar-SA"/>
              </w:rPr>
            </w:pPr>
            <w:r>
              <w:rPr>
                <w:rFonts w:hint="eastAsia"/>
                <w:highlight w:val="none"/>
                <w:lang w:val="en-US" w:bidi="ar-SA"/>
              </w:rPr>
              <w:t>（4）法律规定的其他情形。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 w:hRule="atLeast"/>
          <w:jc w:val="center"/>
        </w:trPr>
        <w:tc>
          <w:tcPr>
            <w:tcW w:w="959" w:type="dxa"/>
            <w:noWrap w:val="0"/>
            <w:vAlign w:val="center"/>
          </w:tcPr>
          <w:p>
            <w:pPr>
              <w:pStyle w:val="37"/>
              <w:spacing w:before="1"/>
              <w:ind w:right="264" w:rightChars="0"/>
              <w:jc w:val="right"/>
              <w:rPr>
                <w:rFonts w:hint="default" w:ascii="Times New Roman" w:hAnsi="宋体" w:eastAsia="宋体" w:cs="宋体"/>
                <w:kern w:val="2"/>
                <w:sz w:val="21"/>
                <w:szCs w:val="22"/>
                <w:highlight w:val="none"/>
                <w:lang w:val="en-US" w:eastAsia="zh-CN" w:bidi="zh-CN"/>
              </w:rPr>
            </w:pPr>
            <w:r>
              <w:rPr>
                <w:rFonts w:hint="eastAsia" w:eastAsia="宋体"/>
                <w:sz w:val="21"/>
                <w:highlight w:val="none"/>
                <w:lang w:val="en-US" w:eastAsia="zh-CN"/>
              </w:rPr>
              <w:t>10.2</w:t>
            </w:r>
          </w:p>
        </w:tc>
        <w:tc>
          <w:tcPr>
            <w:tcW w:w="8332" w:type="dxa"/>
            <w:gridSpan w:val="2"/>
            <w:noWrap w:val="0"/>
            <w:vAlign w:val="center"/>
          </w:tcPr>
          <w:p>
            <w:pPr>
              <w:pStyle w:val="37"/>
              <w:shd w:val="clear"/>
              <w:spacing w:before="91" w:line="360" w:lineRule="auto"/>
              <w:rPr>
                <w:rFonts w:hint="eastAsia"/>
                <w:color w:val="auto"/>
                <w:highlight w:val="none"/>
                <w:lang w:val="en-US" w:eastAsia="zh-CN" w:bidi="ar-SA"/>
              </w:rPr>
            </w:pPr>
            <w:r>
              <w:rPr>
                <w:spacing w:val="-3"/>
                <w:highlight w:val="none"/>
              </w:rPr>
              <w:t>投标人所递交的投标文件</w:t>
            </w:r>
            <w:r>
              <w:rPr>
                <w:highlight w:val="none"/>
              </w:rPr>
              <w:t>（</w:t>
            </w:r>
            <w:r>
              <w:rPr>
                <w:spacing w:val="-3"/>
                <w:highlight w:val="none"/>
              </w:rPr>
              <w:t>包括有关资料、澄清）应真实可信，不存在虚假</w:t>
            </w:r>
            <w:r>
              <w:rPr>
                <w:highlight w:val="none"/>
              </w:rPr>
              <w:t>（</w:t>
            </w:r>
            <w:r>
              <w:rPr>
                <w:spacing w:val="-2"/>
                <w:highlight w:val="none"/>
              </w:rPr>
              <w:t>包括隐瞒</w:t>
            </w:r>
            <w:r>
              <w:rPr>
                <w:spacing w:val="-108"/>
                <w:highlight w:val="none"/>
              </w:rPr>
              <w:t>）</w:t>
            </w:r>
            <w:r>
              <w:rPr>
                <w:highlight w:val="none"/>
              </w:rPr>
              <w:t>。</w:t>
            </w:r>
            <w:r>
              <w:rPr>
                <w:spacing w:val="-7"/>
                <w:highlight w:val="none"/>
              </w:rPr>
              <w:t>投标人声明不存在限制投标情形但被发现存在限制投标情形的，构成隐瞒，属于虚假投标行</w:t>
            </w:r>
            <w:r>
              <w:rPr>
                <w:spacing w:val="-11"/>
                <w:highlight w:val="none"/>
              </w:rPr>
              <w:t>为。如投标文件存在虚假，在评标阶段，评标委员会应将该投标文件作废标处理；中标候选</w:t>
            </w:r>
            <w:r>
              <w:rPr>
                <w:spacing w:val="-6"/>
                <w:highlight w:val="none"/>
              </w:rPr>
              <w:t>人确定后发现的，招标人将取消中标候选人或中标资格。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jc w:val="center"/>
        </w:trPr>
        <w:tc>
          <w:tcPr>
            <w:tcW w:w="959" w:type="dxa"/>
            <w:noWrap w:val="0"/>
            <w:vAlign w:val="center"/>
          </w:tcPr>
          <w:p>
            <w:pPr>
              <w:pStyle w:val="37"/>
              <w:spacing w:before="175" w:line="360" w:lineRule="auto"/>
              <w:ind w:right="264" w:rightChars="0" w:firstLine="0" w:firstLineChars="0"/>
              <w:jc w:val="center"/>
              <w:rPr>
                <w:rFonts w:hint="default" w:ascii="Times New Roman" w:hAnsi="宋体" w:eastAsia="宋体" w:cs="宋体"/>
                <w:kern w:val="2"/>
                <w:sz w:val="21"/>
                <w:szCs w:val="22"/>
                <w:highlight w:val="none"/>
                <w:lang w:val="en-US" w:eastAsia="zh-CN" w:bidi="zh-CN"/>
              </w:rPr>
            </w:pPr>
            <w:r>
              <w:rPr>
                <w:rFonts w:hint="eastAsia"/>
                <w:sz w:val="21"/>
                <w:highlight w:val="none"/>
                <w:lang w:val="en-US" w:eastAsia="zh-CN"/>
              </w:rPr>
              <w:t xml:space="preserve">  </w:t>
            </w:r>
            <w:r>
              <w:rPr>
                <w:rFonts w:hint="eastAsia" w:eastAsia="宋体"/>
                <w:sz w:val="21"/>
                <w:highlight w:val="none"/>
                <w:lang w:val="en-US" w:eastAsia="zh-CN"/>
              </w:rPr>
              <w:t>10.3</w:t>
            </w:r>
          </w:p>
        </w:tc>
        <w:tc>
          <w:tcPr>
            <w:tcW w:w="8332" w:type="dxa"/>
            <w:gridSpan w:val="2"/>
            <w:noWrap w:val="0"/>
            <w:vAlign w:val="center"/>
          </w:tcPr>
          <w:p>
            <w:pPr>
              <w:pStyle w:val="37"/>
              <w:shd w:val="clear"/>
              <w:spacing w:before="91" w:line="360" w:lineRule="auto"/>
              <w:rPr>
                <w:rFonts w:hint="eastAsia"/>
                <w:color w:val="auto"/>
                <w:highlight w:val="none"/>
                <w:lang w:val="en-US" w:eastAsia="zh-CN" w:bidi="ar-SA"/>
              </w:rPr>
            </w:pPr>
            <w:r>
              <w:rPr>
                <w:spacing w:val="-7"/>
                <w:highlight w:val="none"/>
              </w:rPr>
              <w:t>投标人在</w:t>
            </w:r>
            <w:r>
              <w:rPr>
                <w:rFonts w:hint="eastAsia"/>
                <w:spacing w:val="-7"/>
                <w:highlight w:val="none"/>
              </w:rPr>
              <w:t>购买招</w:t>
            </w:r>
            <w:r>
              <w:rPr>
                <w:spacing w:val="-7"/>
                <w:highlight w:val="none"/>
              </w:rPr>
              <w:t>标文件时登记投标人信息及有效的联系方式。至评标结果公示前，投标人必须保证其提供的联系方式处于工作状态，招标人不承担由于投标人联系中断给投标人带来</w:t>
            </w:r>
            <w:r>
              <w:rPr>
                <w:spacing w:val="-5"/>
                <w:highlight w:val="none"/>
              </w:rPr>
              <w:t>的任何损失责任。</w:t>
            </w:r>
          </w:p>
        </w:tc>
      </w:tr>
    </w:tbl>
    <w:p>
      <w:pPr>
        <w:pStyle w:val="2"/>
        <w:spacing w:line="360" w:lineRule="auto"/>
        <w:ind w:firstLine="420" w:firstLineChars="200"/>
        <w:rPr>
          <w:rFonts w:hint="default" w:ascii="宋体" w:hAnsi="宋体" w:eastAsia="宋体" w:cs="宋体"/>
          <w:color w:val="auto"/>
          <w:kern w:val="2"/>
          <w:sz w:val="21"/>
          <w:szCs w:val="21"/>
          <w:highlight w:val="yellow"/>
          <w:lang w:val="en-US" w:eastAsia="zh-CN"/>
        </w:rPr>
      </w:pPr>
    </w:p>
    <w:p>
      <w:pPr>
        <w:pStyle w:val="2"/>
        <w:rPr>
          <w:color w:val="auto"/>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p>
      <w:pPr>
        <w:pStyle w:val="2"/>
        <w:rPr>
          <w:rFonts w:ascii="宋体" w:hAnsi="宋体" w:eastAsia="宋体" w:cs="宋体"/>
          <w:color w:val="auto"/>
          <w:szCs w:val="21"/>
          <w:highlight w:val="yellow"/>
        </w:rPr>
      </w:pPr>
    </w:p>
    <w:bookmarkEnd w:id="4"/>
    <w:bookmarkEnd w:id="5"/>
    <w:bookmarkEnd w:id="6"/>
    <w:bookmarkEnd w:id="7"/>
    <w:bookmarkEnd w:id="8"/>
    <w:bookmarkEnd w:id="9"/>
    <w:bookmarkEnd w:id="10"/>
    <w:bookmarkEnd w:id="11"/>
    <w:p>
      <w:pPr>
        <w:pStyle w:val="10"/>
        <w:spacing w:before="0"/>
        <w:ind w:right="0"/>
        <w:rPr>
          <w:b/>
          <w:bCs/>
          <w:color w:val="auto"/>
          <w:highlight w:val="yellow"/>
        </w:rPr>
      </w:pPr>
    </w:p>
    <w:p>
      <w:pPr>
        <w:rPr>
          <w:b/>
          <w:bCs/>
          <w:color w:val="auto"/>
          <w:highlight w:val="yellow"/>
        </w:rPr>
      </w:pPr>
    </w:p>
    <w:p>
      <w:pPr>
        <w:pStyle w:val="2"/>
        <w:rPr>
          <w:b/>
          <w:bCs/>
          <w:color w:val="auto"/>
          <w:highlight w:val="yellow"/>
        </w:rPr>
      </w:pPr>
    </w:p>
    <w:p>
      <w:pPr>
        <w:pStyle w:val="2"/>
        <w:rPr>
          <w:b/>
          <w:bCs/>
          <w:color w:val="auto"/>
          <w:highlight w:val="yellow"/>
        </w:rPr>
      </w:pPr>
    </w:p>
    <w:p>
      <w:pPr>
        <w:pStyle w:val="2"/>
        <w:ind w:left="0" w:leftChars="0" w:firstLine="400" w:firstLineChars="200"/>
        <w:rPr>
          <w:highlight w:val="none"/>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TMr/+sAgAA8gUAAA4AAABkcnMvZTJvRG9jLnhtbKVU&#10;zW7UMBC+I/EOlu80m10oNGq2B7btBUGllgdwHSe25D9s72aXcw/c4Myx4iXQCp6GAo/B2El2y1Kk&#10;CnJIJjPj+fnm8xweLZVEC+a8MLrE+d4II6apqYRuSvz64uTRM4x8ILoi0mhW4hXz+Gj68MFhaws2&#10;NtzIijkEQbQvWltiHoItssxTzhTxe8YyDcbaOEUC/LomqxxpIbqS2Xg02s9a4yrrDGXeg3bWGXEf&#10;0d0noKlrQdnM0LliOnRRHZMkQEueC+vxNFVb14yGV3XtWUCyxNBpSG9IAvJlfGfTQ1I0jlguaF8C&#10;uU8JOz0pIjQk3YSakUDQ3Ik/QilBnfGmDnvUqKxrJCECXeSjHWxOnZnb1EtTtI3dgA6D2kH9n8PS&#10;l4szh0RV4jFGmigY+I/11c2HdyiP2LS2KcDl1Nlze+Z6RdP9xXaXtVPxC42gZUJ1tUGVLQOioHxy&#10;MD7YnwDgFGz5+GkPOuUwmXgoz0ePMYo2eLqBUH7cHz6YTICP8eQ4mrJtSpam+8KHqI51bspqLTDT&#10;b+Hy/wfXOSeWpSn4iEUP12SA69t6/f3q/c2njz+/fr75cj3glnw3oPnCA353IHZH8wNuf2+dzn04&#10;ZSYhTxYdBEC9apAIHyS61INoSYjqWEMUUVvilCEqlFmwC5NMYWeOgPjWKvVtr67AYeDg2JlBiAnS&#10;sDZJQXm7am1OhJQwuXgolgIcyIEFlMBGqeEmg6gssNLrJt0rb6So4pl4xLvm8rl0aEHirU5PT47f&#10;3KzzYUY87/ySqaMXZ6Q61hUKKwt817DmcKxBsQojyWArRikVF4iQ9/FMzcfSdlg5zD1S8tJUKyAP&#10;rF7YQty4t5AUFg/0+GZOHJRANAV1iaH5uXWi4eCXLgTQOzG6JzqsggRuv7birrn9n7y2q3r6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MTKRbrZAAAADAEAAA8AAAAAAAAAAQAgAAAAIgAAAGRycy9k&#10;b3ducmV2LnhtbFBLAQIUABQAAAAIAIdO4kAkzK//rAIAAPIFAAAOAAAAAAAAAAEAIAAAACgBAABk&#10;cnMvZTJvRG9jLnhtbFBLBQYAAAAABgAGAFkBAABG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c2ubdcBAAClAwAADgAAAGRycy9lMm9Eb2MueG1srVPN&#10;jtMwEL4j8Q6W7zRpWQpETVdC1SIktCAVHsB1nMaS7TFjt0l5gOUNOHHhznP1ORjnpyzLZQ9ckvGM&#10;55v5vhmvrjtr2FFh0OBKPp/lnCknodJuX/LPn26eveIsROEqYcCpkp9U4Nfrp09WrS/UAhowlUJG&#10;IC4UrS95E6MvsizIRlkRZuCVo2ANaEWkI+6zCkVL6NZkizxfZi1g5RGkCoG8myHIR0R8DCDUtZZq&#10;A/JglYsDKiojIlEKjfaBr/tu61rJ+KGug4rMlJyYxv5LRcjepW+2Xolij8I3Wo4tiMe08ICTFdpR&#10;0QvURkTBDqj/gbJaIgSo40yCzQYivSLEYp4/0GbbCK96LiR18BfRw/+DlbfHj8h0VfIrzpywNPDz&#10;92/nH7/OP+/YVZKn9aGgW1tP92L3BjpamskfyJlYdzXa9Cc+jOIk7ukiruoikylpuXixzCkkKTZ/&#10;/vol2QSf/cn2GOJbBZYlo+RIw+s1Fcf3IQ5XpyupmIMbbUw/QOP+chDm4FH9BozZicjQcLJit+tG&#10;djuoTkSO3gRVbQC/ctbSRpQ8fDkIVJyZd44kT+szGTgZu8kQTlJqySNnB4963xBWr1OWqtH0eqrj&#10;pqX1uH8m+/7rW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p0e1NgAAAAKAQAADwAAAAAAAAAB&#10;ACAAAAAiAAAAZHJzL2Rvd25yZXYueG1sUEsBAhQAFAAAAAgAh07iQCXNrm3XAQAApQMAAA4AAAAA&#10;AAAAAQAgAAAAJwEAAGRycy9lMm9Eb2MueG1sUEsFBgAAAAAGAAYAWQEAAHA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879AEF"/>
    <w:multiLevelType w:val="multilevel"/>
    <w:tmpl w:val="C8879AEF"/>
    <w:lvl w:ilvl="0" w:tentative="0">
      <w:start w:val="1"/>
      <w:numFmt w:val="decimal"/>
      <w:lvlText w:val="（%1）"/>
      <w:lvlJc w:val="left"/>
      <w:pPr>
        <w:ind w:left="631" w:hanging="525"/>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212" w:hanging="525"/>
      </w:pPr>
      <w:rPr>
        <w:rFonts w:hint="default"/>
        <w:lang w:val="zh-CN" w:eastAsia="zh-CN" w:bidi="zh-CN"/>
      </w:rPr>
    </w:lvl>
    <w:lvl w:ilvl="2" w:tentative="0">
      <w:start w:val="0"/>
      <w:numFmt w:val="bullet"/>
      <w:lvlText w:val="•"/>
      <w:lvlJc w:val="left"/>
      <w:pPr>
        <w:ind w:left="1785" w:hanging="525"/>
      </w:pPr>
      <w:rPr>
        <w:rFonts w:hint="default"/>
        <w:lang w:val="zh-CN" w:eastAsia="zh-CN" w:bidi="zh-CN"/>
      </w:rPr>
    </w:lvl>
    <w:lvl w:ilvl="3" w:tentative="0">
      <w:start w:val="0"/>
      <w:numFmt w:val="bullet"/>
      <w:lvlText w:val="•"/>
      <w:lvlJc w:val="left"/>
      <w:pPr>
        <w:ind w:left="2358" w:hanging="525"/>
      </w:pPr>
      <w:rPr>
        <w:rFonts w:hint="default"/>
        <w:lang w:val="zh-CN" w:eastAsia="zh-CN" w:bidi="zh-CN"/>
      </w:rPr>
    </w:lvl>
    <w:lvl w:ilvl="4" w:tentative="0">
      <w:start w:val="0"/>
      <w:numFmt w:val="bullet"/>
      <w:lvlText w:val="•"/>
      <w:lvlJc w:val="left"/>
      <w:pPr>
        <w:ind w:left="2931" w:hanging="525"/>
      </w:pPr>
      <w:rPr>
        <w:rFonts w:hint="default"/>
        <w:lang w:val="zh-CN" w:eastAsia="zh-CN" w:bidi="zh-CN"/>
      </w:rPr>
    </w:lvl>
    <w:lvl w:ilvl="5" w:tentative="0">
      <w:start w:val="0"/>
      <w:numFmt w:val="bullet"/>
      <w:lvlText w:val="•"/>
      <w:lvlJc w:val="left"/>
      <w:pPr>
        <w:ind w:left="3504" w:hanging="525"/>
      </w:pPr>
      <w:rPr>
        <w:rFonts w:hint="default"/>
        <w:lang w:val="zh-CN" w:eastAsia="zh-CN" w:bidi="zh-CN"/>
      </w:rPr>
    </w:lvl>
    <w:lvl w:ilvl="6" w:tentative="0">
      <w:start w:val="0"/>
      <w:numFmt w:val="bullet"/>
      <w:lvlText w:val="•"/>
      <w:lvlJc w:val="left"/>
      <w:pPr>
        <w:ind w:left="4076" w:hanging="525"/>
      </w:pPr>
      <w:rPr>
        <w:rFonts w:hint="default"/>
        <w:lang w:val="zh-CN" w:eastAsia="zh-CN" w:bidi="zh-CN"/>
      </w:rPr>
    </w:lvl>
    <w:lvl w:ilvl="7" w:tentative="0">
      <w:start w:val="0"/>
      <w:numFmt w:val="bullet"/>
      <w:lvlText w:val="•"/>
      <w:lvlJc w:val="left"/>
      <w:pPr>
        <w:ind w:left="4649" w:hanging="525"/>
      </w:pPr>
      <w:rPr>
        <w:rFonts w:hint="default"/>
        <w:lang w:val="zh-CN" w:eastAsia="zh-CN" w:bidi="zh-CN"/>
      </w:rPr>
    </w:lvl>
    <w:lvl w:ilvl="8" w:tentative="0">
      <w:start w:val="0"/>
      <w:numFmt w:val="bullet"/>
      <w:lvlText w:val="•"/>
      <w:lvlJc w:val="left"/>
      <w:pPr>
        <w:ind w:left="5222" w:hanging="525"/>
      </w:pPr>
      <w:rPr>
        <w:rFonts w:hint="default"/>
        <w:lang w:val="zh-CN" w:eastAsia="zh-CN" w:bidi="zh-CN"/>
      </w:rPr>
    </w:lvl>
  </w:abstractNum>
  <w:abstractNum w:abstractNumId="1">
    <w:nsid w:val="D7789C9A"/>
    <w:multiLevelType w:val="singleLevel"/>
    <w:tmpl w:val="D7789C9A"/>
    <w:lvl w:ilvl="0" w:tentative="0">
      <w:start w:val="1"/>
      <w:numFmt w:val="chineseCounting"/>
      <w:suff w:val="nothing"/>
      <w:lvlText w:val="%1、"/>
      <w:lvlJc w:val="left"/>
      <w:rPr>
        <w:rFonts w:hint="eastAsia"/>
      </w:rPr>
    </w:lvl>
  </w:abstractNum>
  <w:abstractNum w:abstractNumId="2">
    <w:nsid w:val="DCBA6B53"/>
    <w:multiLevelType w:val="multilevel"/>
    <w:tmpl w:val="DCBA6B53"/>
    <w:lvl w:ilvl="0" w:tentative="0">
      <w:start w:val="1"/>
      <w:numFmt w:val="decimal"/>
      <w:lvlText w:val="（%1）"/>
      <w:lvlJc w:val="left"/>
      <w:pPr>
        <w:ind w:left="631" w:hanging="525"/>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212" w:hanging="525"/>
      </w:pPr>
      <w:rPr>
        <w:rFonts w:hint="default"/>
        <w:lang w:val="zh-CN" w:eastAsia="zh-CN" w:bidi="zh-CN"/>
      </w:rPr>
    </w:lvl>
    <w:lvl w:ilvl="2" w:tentative="0">
      <w:start w:val="0"/>
      <w:numFmt w:val="bullet"/>
      <w:lvlText w:val="•"/>
      <w:lvlJc w:val="left"/>
      <w:pPr>
        <w:ind w:left="1785" w:hanging="525"/>
      </w:pPr>
      <w:rPr>
        <w:rFonts w:hint="default"/>
        <w:lang w:val="zh-CN" w:eastAsia="zh-CN" w:bidi="zh-CN"/>
      </w:rPr>
    </w:lvl>
    <w:lvl w:ilvl="3" w:tentative="0">
      <w:start w:val="0"/>
      <w:numFmt w:val="bullet"/>
      <w:lvlText w:val="•"/>
      <w:lvlJc w:val="left"/>
      <w:pPr>
        <w:ind w:left="2358" w:hanging="525"/>
      </w:pPr>
      <w:rPr>
        <w:rFonts w:hint="default"/>
        <w:lang w:val="zh-CN" w:eastAsia="zh-CN" w:bidi="zh-CN"/>
      </w:rPr>
    </w:lvl>
    <w:lvl w:ilvl="4" w:tentative="0">
      <w:start w:val="0"/>
      <w:numFmt w:val="bullet"/>
      <w:lvlText w:val="•"/>
      <w:lvlJc w:val="left"/>
      <w:pPr>
        <w:ind w:left="2931" w:hanging="525"/>
      </w:pPr>
      <w:rPr>
        <w:rFonts w:hint="default"/>
        <w:lang w:val="zh-CN" w:eastAsia="zh-CN" w:bidi="zh-CN"/>
      </w:rPr>
    </w:lvl>
    <w:lvl w:ilvl="5" w:tentative="0">
      <w:start w:val="0"/>
      <w:numFmt w:val="bullet"/>
      <w:lvlText w:val="•"/>
      <w:lvlJc w:val="left"/>
      <w:pPr>
        <w:ind w:left="3504" w:hanging="525"/>
      </w:pPr>
      <w:rPr>
        <w:rFonts w:hint="default"/>
        <w:lang w:val="zh-CN" w:eastAsia="zh-CN" w:bidi="zh-CN"/>
      </w:rPr>
    </w:lvl>
    <w:lvl w:ilvl="6" w:tentative="0">
      <w:start w:val="0"/>
      <w:numFmt w:val="bullet"/>
      <w:lvlText w:val="•"/>
      <w:lvlJc w:val="left"/>
      <w:pPr>
        <w:ind w:left="4076" w:hanging="525"/>
      </w:pPr>
      <w:rPr>
        <w:rFonts w:hint="default"/>
        <w:lang w:val="zh-CN" w:eastAsia="zh-CN" w:bidi="zh-CN"/>
      </w:rPr>
    </w:lvl>
    <w:lvl w:ilvl="7" w:tentative="0">
      <w:start w:val="0"/>
      <w:numFmt w:val="bullet"/>
      <w:lvlText w:val="•"/>
      <w:lvlJc w:val="left"/>
      <w:pPr>
        <w:ind w:left="4649" w:hanging="525"/>
      </w:pPr>
      <w:rPr>
        <w:rFonts w:hint="default"/>
        <w:lang w:val="zh-CN" w:eastAsia="zh-CN" w:bidi="zh-CN"/>
      </w:rPr>
    </w:lvl>
    <w:lvl w:ilvl="8" w:tentative="0">
      <w:start w:val="0"/>
      <w:numFmt w:val="bullet"/>
      <w:lvlText w:val="•"/>
      <w:lvlJc w:val="left"/>
      <w:pPr>
        <w:ind w:left="5222" w:hanging="525"/>
      </w:pPr>
      <w:rPr>
        <w:rFonts w:hint="default"/>
        <w:lang w:val="zh-CN" w:eastAsia="zh-CN" w:bidi="zh-CN"/>
      </w:rPr>
    </w:lvl>
  </w:abstractNum>
  <w:abstractNum w:abstractNumId="3">
    <w:nsid w:val="56E25DD9"/>
    <w:multiLevelType w:val="singleLevel"/>
    <w:tmpl w:val="56E25DD9"/>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B56E2"/>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03164E"/>
    <w:rsid w:val="01161E96"/>
    <w:rsid w:val="01193612"/>
    <w:rsid w:val="01282F9C"/>
    <w:rsid w:val="013E00ED"/>
    <w:rsid w:val="01515F35"/>
    <w:rsid w:val="015E6713"/>
    <w:rsid w:val="015E6A95"/>
    <w:rsid w:val="01C91FF6"/>
    <w:rsid w:val="01CC7C92"/>
    <w:rsid w:val="020C08DA"/>
    <w:rsid w:val="02234285"/>
    <w:rsid w:val="02293F6E"/>
    <w:rsid w:val="025F1F8A"/>
    <w:rsid w:val="02B20C36"/>
    <w:rsid w:val="02B81FC4"/>
    <w:rsid w:val="034278EB"/>
    <w:rsid w:val="034362AF"/>
    <w:rsid w:val="036478D0"/>
    <w:rsid w:val="03722D3D"/>
    <w:rsid w:val="03803F39"/>
    <w:rsid w:val="03A55B83"/>
    <w:rsid w:val="03EF34BA"/>
    <w:rsid w:val="04051239"/>
    <w:rsid w:val="040B16D4"/>
    <w:rsid w:val="04141433"/>
    <w:rsid w:val="043A09CE"/>
    <w:rsid w:val="043D4E77"/>
    <w:rsid w:val="04875E2C"/>
    <w:rsid w:val="04964555"/>
    <w:rsid w:val="04C827C1"/>
    <w:rsid w:val="04CB6A7F"/>
    <w:rsid w:val="04E9686E"/>
    <w:rsid w:val="04EB1834"/>
    <w:rsid w:val="050D4A7D"/>
    <w:rsid w:val="051677EF"/>
    <w:rsid w:val="051A52E2"/>
    <w:rsid w:val="05353307"/>
    <w:rsid w:val="053605D3"/>
    <w:rsid w:val="05432625"/>
    <w:rsid w:val="057B26D7"/>
    <w:rsid w:val="059277A1"/>
    <w:rsid w:val="05950823"/>
    <w:rsid w:val="05976EB7"/>
    <w:rsid w:val="05AE3F52"/>
    <w:rsid w:val="05B4006A"/>
    <w:rsid w:val="05CA6B61"/>
    <w:rsid w:val="05D42EBD"/>
    <w:rsid w:val="05DE56DE"/>
    <w:rsid w:val="05EF21A1"/>
    <w:rsid w:val="05EF79DE"/>
    <w:rsid w:val="05F90419"/>
    <w:rsid w:val="05F91FC1"/>
    <w:rsid w:val="06081FC2"/>
    <w:rsid w:val="064C04F8"/>
    <w:rsid w:val="06525A8C"/>
    <w:rsid w:val="067A0D04"/>
    <w:rsid w:val="068E2FCE"/>
    <w:rsid w:val="06B07422"/>
    <w:rsid w:val="06B55C12"/>
    <w:rsid w:val="06C97B07"/>
    <w:rsid w:val="070332AF"/>
    <w:rsid w:val="070C5B8C"/>
    <w:rsid w:val="0711416E"/>
    <w:rsid w:val="07173A6F"/>
    <w:rsid w:val="07410DB8"/>
    <w:rsid w:val="079265B8"/>
    <w:rsid w:val="079724B8"/>
    <w:rsid w:val="07A32DC8"/>
    <w:rsid w:val="07B33DA1"/>
    <w:rsid w:val="07C25EE3"/>
    <w:rsid w:val="07D9342B"/>
    <w:rsid w:val="07DB2932"/>
    <w:rsid w:val="081C6B1F"/>
    <w:rsid w:val="0870272B"/>
    <w:rsid w:val="0871052C"/>
    <w:rsid w:val="08AF79C5"/>
    <w:rsid w:val="08BD6632"/>
    <w:rsid w:val="08E163AA"/>
    <w:rsid w:val="08F475C4"/>
    <w:rsid w:val="090E4678"/>
    <w:rsid w:val="09223BDF"/>
    <w:rsid w:val="094602D0"/>
    <w:rsid w:val="095F1405"/>
    <w:rsid w:val="095F763D"/>
    <w:rsid w:val="098149B8"/>
    <w:rsid w:val="09AB61F4"/>
    <w:rsid w:val="09BC4DF4"/>
    <w:rsid w:val="09CA7E3E"/>
    <w:rsid w:val="09EC0230"/>
    <w:rsid w:val="09F909D7"/>
    <w:rsid w:val="09F96C7D"/>
    <w:rsid w:val="0A133C01"/>
    <w:rsid w:val="0A155AEE"/>
    <w:rsid w:val="0A2E1D1D"/>
    <w:rsid w:val="0A572A77"/>
    <w:rsid w:val="0A6C734B"/>
    <w:rsid w:val="0AA657E9"/>
    <w:rsid w:val="0AF339DE"/>
    <w:rsid w:val="0B006D47"/>
    <w:rsid w:val="0B0C0E20"/>
    <w:rsid w:val="0B623651"/>
    <w:rsid w:val="0B7C44D7"/>
    <w:rsid w:val="0BF66816"/>
    <w:rsid w:val="0C3977C8"/>
    <w:rsid w:val="0C7D6D6C"/>
    <w:rsid w:val="0C814DCD"/>
    <w:rsid w:val="0CD61992"/>
    <w:rsid w:val="0CFE00F2"/>
    <w:rsid w:val="0D23326F"/>
    <w:rsid w:val="0D391FC2"/>
    <w:rsid w:val="0D566DF7"/>
    <w:rsid w:val="0D59611B"/>
    <w:rsid w:val="0D7664E2"/>
    <w:rsid w:val="0D9C4F1B"/>
    <w:rsid w:val="0DA21EE8"/>
    <w:rsid w:val="0DA26DCA"/>
    <w:rsid w:val="0DA417DF"/>
    <w:rsid w:val="0DA543A5"/>
    <w:rsid w:val="0DA6583B"/>
    <w:rsid w:val="0DB568C0"/>
    <w:rsid w:val="0DC43F13"/>
    <w:rsid w:val="0DC676FB"/>
    <w:rsid w:val="0DC96CD4"/>
    <w:rsid w:val="0DEC6929"/>
    <w:rsid w:val="0DEF2D8F"/>
    <w:rsid w:val="0DF15448"/>
    <w:rsid w:val="0E44760D"/>
    <w:rsid w:val="0E545297"/>
    <w:rsid w:val="0E7955AF"/>
    <w:rsid w:val="0E9931F0"/>
    <w:rsid w:val="0E9F712A"/>
    <w:rsid w:val="0EA64445"/>
    <w:rsid w:val="0EAA5D4E"/>
    <w:rsid w:val="0EEB6056"/>
    <w:rsid w:val="0EFD4000"/>
    <w:rsid w:val="0F1611F1"/>
    <w:rsid w:val="0F254073"/>
    <w:rsid w:val="0F265206"/>
    <w:rsid w:val="0F2856BE"/>
    <w:rsid w:val="0F73799F"/>
    <w:rsid w:val="0F9619D4"/>
    <w:rsid w:val="0F9C0A77"/>
    <w:rsid w:val="0FC609F3"/>
    <w:rsid w:val="103861BE"/>
    <w:rsid w:val="10484DFE"/>
    <w:rsid w:val="106614A1"/>
    <w:rsid w:val="10702130"/>
    <w:rsid w:val="108871F8"/>
    <w:rsid w:val="1089445F"/>
    <w:rsid w:val="108B5162"/>
    <w:rsid w:val="10D6493B"/>
    <w:rsid w:val="10F05345"/>
    <w:rsid w:val="111446E3"/>
    <w:rsid w:val="113B1C0C"/>
    <w:rsid w:val="115E30F5"/>
    <w:rsid w:val="1191016A"/>
    <w:rsid w:val="11995EC3"/>
    <w:rsid w:val="11A74F16"/>
    <w:rsid w:val="11AF06E1"/>
    <w:rsid w:val="11C218A5"/>
    <w:rsid w:val="11D41E16"/>
    <w:rsid w:val="11E06AF2"/>
    <w:rsid w:val="11F10DCE"/>
    <w:rsid w:val="11F200D9"/>
    <w:rsid w:val="123020E5"/>
    <w:rsid w:val="125127A7"/>
    <w:rsid w:val="126F08F1"/>
    <w:rsid w:val="12AF5192"/>
    <w:rsid w:val="12EB084A"/>
    <w:rsid w:val="12FC5EFD"/>
    <w:rsid w:val="130F32A6"/>
    <w:rsid w:val="1346403B"/>
    <w:rsid w:val="138832C0"/>
    <w:rsid w:val="139C70BD"/>
    <w:rsid w:val="139D6A6E"/>
    <w:rsid w:val="13A837AA"/>
    <w:rsid w:val="13BE1BF5"/>
    <w:rsid w:val="13CF2A97"/>
    <w:rsid w:val="13DE1E9F"/>
    <w:rsid w:val="13EB01A5"/>
    <w:rsid w:val="13F40DB0"/>
    <w:rsid w:val="140B4AAA"/>
    <w:rsid w:val="146B3531"/>
    <w:rsid w:val="14902CDE"/>
    <w:rsid w:val="14AD1CC9"/>
    <w:rsid w:val="14CC3097"/>
    <w:rsid w:val="14F72197"/>
    <w:rsid w:val="15023C9F"/>
    <w:rsid w:val="15441F95"/>
    <w:rsid w:val="15452BE6"/>
    <w:rsid w:val="15556A20"/>
    <w:rsid w:val="15562250"/>
    <w:rsid w:val="156B6FF0"/>
    <w:rsid w:val="15760107"/>
    <w:rsid w:val="15797CCF"/>
    <w:rsid w:val="15915022"/>
    <w:rsid w:val="15944091"/>
    <w:rsid w:val="15965061"/>
    <w:rsid w:val="15C04CD1"/>
    <w:rsid w:val="15E02AC0"/>
    <w:rsid w:val="16503E01"/>
    <w:rsid w:val="165528D8"/>
    <w:rsid w:val="165F6B34"/>
    <w:rsid w:val="1667691B"/>
    <w:rsid w:val="166B13D0"/>
    <w:rsid w:val="16995E37"/>
    <w:rsid w:val="16A86D68"/>
    <w:rsid w:val="16C97346"/>
    <w:rsid w:val="16F46966"/>
    <w:rsid w:val="16FE3947"/>
    <w:rsid w:val="1703535A"/>
    <w:rsid w:val="171522DC"/>
    <w:rsid w:val="171A4E1D"/>
    <w:rsid w:val="17666F98"/>
    <w:rsid w:val="177259D8"/>
    <w:rsid w:val="178303DB"/>
    <w:rsid w:val="17A71FF4"/>
    <w:rsid w:val="17FE0021"/>
    <w:rsid w:val="18114B6C"/>
    <w:rsid w:val="182714AF"/>
    <w:rsid w:val="185C36C6"/>
    <w:rsid w:val="185F31B6"/>
    <w:rsid w:val="185F6743"/>
    <w:rsid w:val="18736C61"/>
    <w:rsid w:val="18762173"/>
    <w:rsid w:val="188D711B"/>
    <w:rsid w:val="18A92F77"/>
    <w:rsid w:val="18BB4412"/>
    <w:rsid w:val="18D746B5"/>
    <w:rsid w:val="193C5A11"/>
    <w:rsid w:val="194A2CAF"/>
    <w:rsid w:val="196A0FB4"/>
    <w:rsid w:val="197A0DA0"/>
    <w:rsid w:val="19DC18BA"/>
    <w:rsid w:val="19F71386"/>
    <w:rsid w:val="19FC5172"/>
    <w:rsid w:val="1A0E71DA"/>
    <w:rsid w:val="1A1A3838"/>
    <w:rsid w:val="1A7317D7"/>
    <w:rsid w:val="1AC217DA"/>
    <w:rsid w:val="1AF03522"/>
    <w:rsid w:val="1AF23E6D"/>
    <w:rsid w:val="1AF41B30"/>
    <w:rsid w:val="1AF51BBE"/>
    <w:rsid w:val="1B07676B"/>
    <w:rsid w:val="1B16672A"/>
    <w:rsid w:val="1B1A1616"/>
    <w:rsid w:val="1B1E113A"/>
    <w:rsid w:val="1B3640C9"/>
    <w:rsid w:val="1B384EC8"/>
    <w:rsid w:val="1B46547E"/>
    <w:rsid w:val="1BB21980"/>
    <w:rsid w:val="1BBB6955"/>
    <w:rsid w:val="1BBB6A09"/>
    <w:rsid w:val="1BE45683"/>
    <w:rsid w:val="1BEF09D3"/>
    <w:rsid w:val="1BF517E2"/>
    <w:rsid w:val="1BFC1D3D"/>
    <w:rsid w:val="1BFF07D2"/>
    <w:rsid w:val="1BFF2CC8"/>
    <w:rsid w:val="1C071B9A"/>
    <w:rsid w:val="1C134ABF"/>
    <w:rsid w:val="1C1B7270"/>
    <w:rsid w:val="1C227BC7"/>
    <w:rsid w:val="1C367F55"/>
    <w:rsid w:val="1C3B55B4"/>
    <w:rsid w:val="1C4701E9"/>
    <w:rsid w:val="1C77023B"/>
    <w:rsid w:val="1C7B7046"/>
    <w:rsid w:val="1CAE658B"/>
    <w:rsid w:val="1CB531E3"/>
    <w:rsid w:val="1CC738F0"/>
    <w:rsid w:val="1CE01F37"/>
    <w:rsid w:val="1CEA0145"/>
    <w:rsid w:val="1D540E0F"/>
    <w:rsid w:val="1D5A4B4C"/>
    <w:rsid w:val="1D6147A8"/>
    <w:rsid w:val="1DFC54FF"/>
    <w:rsid w:val="1E0F6013"/>
    <w:rsid w:val="1E373452"/>
    <w:rsid w:val="1E4A0038"/>
    <w:rsid w:val="1E8B211B"/>
    <w:rsid w:val="1E917DAA"/>
    <w:rsid w:val="1EAC6FC0"/>
    <w:rsid w:val="1EC01569"/>
    <w:rsid w:val="1EDF11CD"/>
    <w:rsid w:val="1EE01851"/>
    <w:rsid w:val="1EE14712"/>
    <w:rsid w:val="1F4C5F8E"/>
    <w:rsid w:val="1F4C6A60"/>
    <w:rsid w:val="1F5F45F6"/>
    <w:rsid w:val="1F6D4BDC"/>
    <w:rsid w:val="1F6E44D2"/>
    <w:rsid w:val="1F8E612F"/>
    <w:rsid w:val="1FD44AF3"/>
    <w:rsid w:val="1FDC50EC"/>
    <w:rsid w:val="1FF23782"/>
    <w:rsid w:val="20162717"/>
    <w:rsid w:val="201E74B3"/>
    <w:rsid w:val="20581546"/>
    <w:rsid w:val="20A124BD"/>
    <w:rsid w:val="20E92668"/>
    <w:rsid w:val="20EA64A4"/>
    <w:rsid w:val="20FC7DFE"/>
    <w:rsid w:val="210C7C53"/>
    <w:rsid w:val="21194890"/>
    <w:rsid w:val="2122760F"/>
    <w:rsid w:val="21366692"/>
    <w:rsid w:val="213925A9"/>
    <w:rsid w:val="213E0C37"/>
    <w:rsid w:val="214C7C00"/>
    <w:rsid w:val="215F6288"/>
    <w:rsid w:val="216D6944"/>
    <w:rsid w:val="21A007BF"/>
    <w:rsid w:val="21D02831"/>
    <w:rsid w:val="21E12D84"/>
    <w:rsid w:val="21E51176"/>
    <w:rsid w:val="227B5090"/>
    <w:rsid w:val="22AE0FC2"/>
    <w:rsid w:val="22BF2D49"/>
    <w:rsid w:val="22E4104D"/>
    <w:rsid w:val="23127A43"/>
    <w:rsid w:val="23153797"/>
    <w:rsid w:val="231F5991"/>
    <w:rsid w:val="231F6E49"/>
    <w:rsid w:val="23445BB6"/>
    <w:rsid w:val="2349616C"/>
    <w:rsid w:val="235C7A0D"/>
    <w:rsid w:val="236F6297"/>
    <w:rsid w:val="23863CED"/>
    <w:rsid w:val="23953D1A"/>
    <w:rsid w:val="23A322E8"/>
    <w:rsid w:val="23EB62F0"/>
    <w:rsid w:val="24053E71"/>
    <w:rsid w:val="2428404E"/>
    <w:rsid w:val="2446259E"/>
    <w:rsid w:val="24585BD5"/>
    <w:rsid w:val="24EE11EF"/>
    <w:rsid w:val="24F01C1E"/>
    <w:rsid w:val="24F353B2"/>
    <w:rsid w:val="252E69F7"/>
    <w:rsid w:val="255C30AF"/>
    <w:rsid w:val="25627E42"/>
    <w:rsid w:val="257C203E"/>
    <w:rsid w:val="258C074F"/>
    <w:rsid w:val="259F2E44"/>
    <w:rsid w:val="25EE2635"/>
    <w:rsid w:val="25F0208A"/>
    <w:rsid w:val="26025D3A"/>
    <w:rsid w:val="26417780"/>
    <w:rsid w:val="268417EF"/>
    <w:rsid w:val="268C5E25"/>
    <w:rsid w:val="26A541E9"/>
    <w:rsid w:val="26BB1723"/>
    <w:rsid w:val="26CE5DD7"/>
    <w:rsid w:val="270D5649"/>
    <w:rsid w:val="2714504D"/>
    <w:rsid w:val="27280F12"/>
    <w:rsid w:val="2737614D"/>
    <w:rsid w:val="277350CB"/>
    <w:rsid w:val="27736336"/>
    <w:rsid w:val="27805EFB"/>
    <w:rsid w:val="27C57DBB"/>
    <w:rsid w:val="27DF258E"/>
    <w:rsid w:val="27E96F43"/>
    <w:rsid w:val="28071DA7"/>
    <w:rsid w:val="28360677"/>
    <w:rsid w:val="283913BE"/>
    <w:rsid w:val="28801DAF"/>
    <w:rsid w:val="28A8449C"/>
    <w:rsid w:val="28B13988"/>
    <w:rsid w:val="28C248C5"/>
    <w:rsid w:val="29085CE3"/>
    <w:rsid w:val="295236BE"/>
    <w:rsid w:val="295E5289"/>
    <w:rsid w:val="29680155"/>
    <w:rsid w:val="29707129"/>
    <w:rsid w:val="298E7457"/>
    <w:rsid w:val="29C244A8"/>
    <w:rsid w:val="29D821A5"/>
    <w:rsid w:val="29E62C14"/>
    <w:rsid w:val="2A4F22E3"/>
    <w:rsid w:val="2A954038"/>
    <w:rsid w:val="2AE44AA2"/>
    <w:rsid w:val="2AF502EE"/>
    <w:rsid w:val="2B113DE4"/>
    <w:rsid w:val="2B384040"/>
    <w:rsid w:val="2B471FB3"/>
    <w:rsid w:val="2B9E3DC9"/>
    <w:rsid w:val="2BAA4834"/>
    <w:rsid w:val="2BAD2E75"/>
    <w:rsid w:val="2BAF20A7"/>
    <w:rsid w:val="2BC83A75"/>
    <w:rsid w:val="2BD83532"/>
    <w:rsid w:val="2BDB10CE"/>
    <w:rsid w:val="2BEE4DC6"/>
    <w:rsid w:val="2C2A533E"/>
    <w:rsid w:val="2C424BBA"/>
    <w:rsid w:val="2C4C35F9"/>
    <w:rsid w:val="2C9A11D1"/>
    <w:rsid w:val="2CB37E9C"/>
    <w:rsid w:val="2CB46690"/>
    <w:rsid w:val="2CBE62A5"/>
    <w:rsid w:val="2CC6515A"/>
    <w:rsid w:val="2CD231A4"/>
    <w:rsid w:val="2CE33A79"/>
    <w:rsid w:val="2CE346C3"/>
    <w:rsid w:val="2CE90ED2"/>
    <w:rsid w:val="2CEC114E"/>
    <w:rsid w:val="2CF27F88"/>
    <w:rsid w:val="2D227DB9"/>
    <w:rsid w:val="2D425430"/>
    <w:rsid w:val="2D597235"/>
    <w:rsid w:val="2D5A3D08"/>
    <w:rsid w:val="2D78124C"/>
    <w:rsid w:val="2DC115AC"/>
    <w:rsid w:val="2DDB6FEC"/>
    <w:rsid w:val="2DE90567"/>
    <w:rsid w:val="2E04559A"/>
    <w:rsid w:val="2E12779E"/>
    <w:rsid w:val="2E251A45"/>
    <w:rsid w:val="2E4076B1"/>
    <w:rsid w:val="2E484F8A"/>
    <w:rsid w:val="2E4B2579"/>
    <w:rsid w:val="2E70537D"/>
    <w:rsid w:val="2E9224BB"/>
    <w:rsid w:val="2ECD1C57"/>
    <w:rsid w:val="2ECE01E6"/>
    <w:rsid w:val="2F48454C"/>
    <w:rsid w:val="2F6B3D97"/>
    <w:rsid w:val="2FC43E60"/>
    <w:rsid w:val="2FD24B0B"/>
    <w:rsid w:val="2FE75666"/>
    <w:rsid w:val="30066B4C"/>
    <w:rsid w:val="30377FF1"/>
    <w:rsid w:val="303F6D0C"/>
    <w:rsid w:val="30750BB0"/>
    <w:rsid w:val="310352FA"/>
    <w:rsid w:val="3159016F"/>
    <w:rsid w:val="31655D79"/>
    <w:rsid w:val="31735A7D"/>
    <w:rsid w:val="3174607B"/>
    <w:rsid w:val="317A6513"/>
    <w:rsid w:val="319054FC"/>
    <w:rsid w:val="31B203FE"/>
    <w:rsid w:val="31CC17DD"/>
    <w:rsid w:val="31F97FD8"/>
    <w:rsid w:val="32016C00"/>
    <w:rsid w:val="320B5870"/>
    <w:rsid w:val="32440235"/>
    <w:rsid w:val="324A4137"/>
    <w:rsid w:val="3261333F"/>
    <w:rsid w:val="32835E71"/>
    <w:rsid w:val="3299565F"/>
    <w:rsid w:val="32B83797"/>
    <w:rsid w:val="32D46C27"/>
    <w:rsid w:val="32EE21B3"/>
    <w:rsid w:val="33092E4B"/>
    <w:rsid w:val="330F23DF"/>
    <w:rsid w:val="33320C49"/>
    <w:rsid w:val="333252F7"/>
    <w:rsid w:val="334A3DA1"/>
    <w:rsid w:val="3353526D"/>
    <w:rsid w:val="33610ADB"/>
    <w:rsid w:val="3375179E"/>
    <w:rsid w:val="33B12035"/>
    <w:rsid w:val="33B63C32"/>
    <w:rsid w:val="33BA3EA4"/>
    <w:rsid w:val="34131012"/>
    <w:rsid w:val="34171487"/>
    <w:rsid w:val="342E2B39"/>
    <w:rsid w:val="343C4A89"/>
    <w:rsid w:val="343D7BFD"/>
    <w:rsid w:val="34460FFB"/>
    <w:rsid w:val="347E731E"/>
    <w:rsid w:val="349614CB"/>
    <w:rsid w:val="34A64DC1"/>
    <w:rsid w:val="34C51938"/>
    <w:rsid w:val="34DA608C"/>
    <w:rsid w:val="34DD7E01"/>
    <w:rsid w:val="350B3235"/>
    <w:rsid w:val="3514279B"/>
    <w:rsid w:val="351B1A28"/>
    <w:rsid w:val="35265E42"/>
    <w:rsid w:val="353815FD"/>
    <w:rsid w:val="353F02F3"/>
    <w:rsid w:val="35575D1F"/>
    <w:rsid w:val="357556C8"/>
    <w:rsid w:val="357D79D8"/>
    <w:rsid w:val="35825A1E"/>
    <w:rsid w:val="3590142B"/>
    <w:rsid w:val="359765C4"/>
    <w:rsid w:val="35BF3545"/>
    <w:rsid w:val="3610397A"/>
    <w:rsid w:val="3634678A"/>
    <w:rsid w:val="36383EE1"/>
    <w:rsid w:val="36527DCA"/>
    <w:rsid w:val="369345B2"/>
    <w:rsid w:val="36AC091F"/>
    <w:rsid w:val="36D71B4B"/>
    <w:rsid w:val="36EE3C2B"/>
    <w:rsid w:val="370246D3"/>
    <w:rsid w:val="370E06BA"/>
    <w:rsid w:val="372A0359"/>
    <w:rsid w:val="37557342"/>
    <w:rsid w:val="37825166"/>
    <w:rsid w:val="37865704"/>
    <w:rsid w:val="37AA374C"/>
    <w:rsid w:val="38024E33"/>
    <w:rsid w:val="38076476"/>
    <w:rsid w:val="380C2DC6"/>
    <w:rsid w:val="383C09C6"/>
    <w:rsid w:val="3842120B"/>
    <w:rsid w:val="384A51A5"/>
    <w:rsid w:val="38AA5930"/>
    <w:rsid w:val="38CD1E1E"/>
    <w:rsid w:val="38D12AAE"/>
    <w:rsid w:val="38E878ED"/>
    <w:rsid w:val="391E24F8"/>
    <w:rsid w:val="391E51DB"/>
    <w:rsid w:val="39786BF2"/>
    <w:rsid w:val="39AA1B2B"/>
    <w:rsid w:val="39B10ED2"/>
    <w:rsid w:val="39B73512"/>
    <w:rsid w:val="39BA7F61"/>
    <w:rsid w:val="39E214EC"/>
    <w:rsid w:val="39F74BA5"/>
    <w:rsid w:val="3A04319F"/>
    <w:rsid w:val="3A270FB8"/>
    <w:rsid w:val="3A283C9D"/>
    <w:rsid w:val="3A355AA0"/>
    <w:rsid w:val="3A5F78FB"/>
    <w:rsid w:val="3A875EF9"/>
    <w:rsid w:val="3A9A5DA6"/>
    <w:rsid w:val="3AB14EB1"/>
    <w:rsid w:val="3AEC3BBD"/>
    <w:rsid w:val="3AEE18AA"/>
    <w:rsid w:val="3B032819"/>
    <w:rsid w:val="3B0A2777"/>
    <w:rsid w:val="3B273268"/>
    <w:rsid w:val="3B4548DF"/>
    <w:rsid w:val="3B7B35B3"/>
    <w:rsid w:val="3C17127B"/>
    <w:rsid w:val="3C197B04"/>
    <w:rsid w:val="3C28504A"/>
    <w:rsid w:val="3C5C0E29"/>
    <w:rsid w:val="3C8F53AF"/>
    <w:rsid w:val="3CA87892"/>
    <w:rsid w:val="3CA9417D"/>
    <w:rsid w:val="3CAD2E03"/>
    <w:rsid w:val="3CDC6249"/>
    <w:rsid w:val="3CDE4C67"/>
    <w:rsid w:val="3CEB06A2"/>
    <w:rsid w:val="3D05175A"/>
    <w:rsid w:val="3D143897"/>
    <w:rsid w:val="3D210766"/>
    <w:rsid w:val="3D2A11F8"/>
    <w:rsid w:val="3D3F1B8E"/>
    <w:rsid w:val="3D47386D"/>
    <w:rsid w:val="3D624906"/>
    <w:rsid w:val="3D81154C"/>
    <w:rsid w:val="3D817D30"/>
    <w:rsid w:val="3D9A7F8A"/>
    <w:rsid w:val="3DA2491D"/>
    <w:rsid w:val="3DA37453"/>
    <w:rsid w:val="3DA60DBB"/>
    <w:rsid w:val="3DAD4E44"/>
    <w:rsid w:val="3DD343AB"/>
    <w:rsid w:val="3E2D7AB9"/>
    <w:rsid w:val="3E440B40"/>
    <w:rsid w:val="3E6B0A4A"/>
    <w:rsid w:val="3E75669F"/>
    <w:rsid w:val="3E8079D8"/>
    <w:rsid w:val="3E822F47"/>
    <w:rsid w:val="3E89692C"/>
    <w:rsid w:val="3E8B6DF4"/>
    <w:rsid w:val="3EAC493F"/>
    <w:rsid w:val="3EB04596"/>
    <w:rsid w:val="3ED62FA3"/>
    <w:rsid w:val="3ED93986"/>
    <w:rsid w:val="3F07647B"/>
    <w:rsid w:val="3F2B45D1"/>
    <w:rsid w:val="3F3144B1"/>
    <w:rsid w:val="3F5C3EA3"/>
    <w:rsid w:val="3F692609"/>
    <w:rsid w:val="3F7F3352"/>
    <w:rsid w:val="3F970547"/>
    <w:rsid w:val="3FAF3DDC"/>
    <w:rsid w:val="3FDB7A9D"/>
    <w:rsid w:val="3FF25E78"/>
    <w:rsid w:val="40275D83"/>
    <w:rsid w:val="402D4028"/>
    <w:rsid w:val="40424E24"/>
    <w:rsid w:val="406A2185"/>
    <w:rsid w:val="407C0250"/>
    <w:rsid w:val="40866C82"/>
    <w:rsid w:val="408E4586"/>
    <w:rsid w:val="409F5D0B"/>
    <w:rsid w:val="40A25FF6"/>
    <w:rsid w:val="40CB6138"/>
    <w:rsid w:val="4145515D"/>
    <w:rsid w:val="416500CC"/>
    <w:rsid w:val="41843588"/>
    <w:rsid w:val="418E3FF7"/>
    <w:rsid w:val="41AD06CE"/>
    <w:rsid w:val="41BC6356"/>
    <w:rsid w:val="41C8325D"/>
    <w:rsid w:val="41F406CA"/>
    <w:rsid w:val="41F7672F"/>
    <w:rsid w:val="42054356"/>
    <w:rsid w:val="421C0843"/>
    <w:rsid w:val="42663652"/>
    <w:rsid w:val="42C4415D"/>
    <w:rsid w:val="42EC1A85"/>
    <w:rsid w:val="43030F09"/>
    <w:rsid w:val="43133F6A"/>
    <w:rsid w:val="43462D95"/>
    <w:rsid w:val="43475F8D"/>
    <w:rsid w:val="436A5B87"/>
    <w:rsid w:val="437C5346"/>
    <w:rsid w:val="43A2638A"/>
    <w:rsid w:val="43B17435"/>
    <w:rsid w:val="43D6618D"/>
    <w:rsid w:val="43FF401D"/>
    <w:rsid w:val="440033C7"/>
    <w:rsid w:val="44140F84"/>
    <w:rsid w:val="442D134F"/>
    <w:rsid w:val="443E7814"/>
    <w:rsid w:val="444E05BE"/>
    <w:rsid w:val="449A2059"/>
    <w:rsid w:val="44B0658B"/>
    <w:rsid w:val="44CD5A3F"/>
    <w:rsid w:val="44D516EE"/>
    <w:rsid w:val="455F0E66"/>
    <w:rsid w:val="45681FFB"/>
    <w:rsid w:val="457A599C"/>
    <w:rsid w:val="45B20519"/>
    <w:rsid w:val="45BB5814"/>
    <w:rsid w:val="45DA0E86"/>
    <w:rsid w:val="4610765D"/>
    <w:rsid w:val="461D6E7A"/>
    <w:rsid w:val="46240420"/>
    <w:rsid w:val="462F48A7"/>
    <w:rsid w:val="46540F39"/>
    <w:rsid w:val="465F4FD9"/>
    <w:rsid w:val="467956F8"/>
    <w:rsid w:val="46D9057E"/>
    <w:rsid w:val="46F13CBC"/>
    <w:rsid w:val="46FB198D"/>
    <w:rsid w:val="4706116E"/>
    <w:rsid w:val="473113E0"/>
    <w:rsid w:val="47456100"/>
    <w:rsid w:val="477A6F6B"/>
    <w:rsid w:val="47841A42"/>
    <w:rsid w:val="478B347D"/>
    <w:rsid w:val="47957783"/>
    <w:rsid w:val="480E0A81"/>
    <w:rsid w:val="48333627"/>
    <w:rsid w:val="48490DA6"/>
    <w:rsid w:val="485E4D7E"/>
    <w:rsid w:val="4886384B"/>
    <w:rsid w:val="48877912"/>
    <w:rsid w:val="48C418C2"/>
    <w:rsid w:val="48DD3095"/>
    <w:rsid w:val="49107D77"/>
    <w:rsid w:val="49243500"/>
    <w:rsid w:val="494E1EB4"/>
    <w:rsid w:val="496538C5"/>
    <w:rsid w:val="496E6638"/>
    <w:rsid w:val="49744E2A"/>
    <w:rsid w:val="497965F4"/>
    <w:rsid w:val="49905280"/>
    <w:rsid w:val="49BB065D"/>
    <w:rsid w:val="49D218FF"/>
    <w:rsid w:val="49FC189B"/>
    <w:rsid w:val="4A0369C7"/>
    <w:rsid w:val="4A0A4CD5"/>
    <w:rsid w:val="4A0E02B6"/>
    <w:rsid w:val="4A3261E7"/>
    <w:rsid w:val="4A6A5847"/>
    <w:rsid w:val="4AA3589F"/>
    <w:rsid w:val="4AD44E51"/>
    <w:rsid w:val="4ADE2AF8"/>
    <w:rsid w:val="4AEC78E8"/>
    <w:rsid w:val="4AFB32C5"/>
    <w:rsid w:val="4B905361"/>
    <w:rsid w:val="4B917BB9"/>
    <w:rsid w:val="4BA071F5"/>
    <w:rsid w:val="4BA4193C"/>
    <w:rsid w:val="4BE6156D"/>
    <w:rsid w:val="4BF03B16"/>
    <w:rsid w:val="4C153E89"/>
    <w:rsid w:val="4C3B412E"/>
    <w:rsid w:val="4C5B5467"/>
    <w:rsid w:val="4C6620BC"/>
    <w:rsid w:val="4C664B02"/>
    <w:rsid w:val="4CAC3A92"/>
    <w:rsid w:val="4CC8688D"/>
    <w:rsid w:val="4CD76021"/>
    <w:rsid w:val="4D023B34"/>
    <w:rsid w:val="4D1C5ED8"/>
    <w:rsid w:val="4D2E3846"/>
    <w:rsid w:val="4DA613A2"/>
    <w:rsid w:val="4DA85876"/>
    <w:rsid w:val="4DDE6C92"/>
    <w:rsid w:val="4DF11888"/>
    <w:rsid w:val="4DF6643F"/>
    <w:rsid w:val="4DFF0074"/>
    <w:rsid w:val="4DFF215A"/>
    <w:rsid w:val="4E1F4272"/>
    <w:rsid w:val="4E2215E3"/>
    <w:rsid w:val="4E3E294A"/>
    <w:rsid w:val="4E565EA6"/>
    <w:rsid w:val="4E5E19E4"/>
    <w:rsid w:val="4E764E55"/>
    <w:rsid w:val="4E990636"/>
    <w:rsid w:val="4EA64D87"/>
    <w:rsid w:val="4F3B42D5"/>
    <w:rsid w:val="4F403077"/>
    <w:rsid w:val="4FAB4D2C"/>
    <w:rsid w:val="4FAF678C"/>
    <w:rsid w:val="4FBA1889"/>
    <w:rsid w:val="4FDA224F"/>
    <w:rsid w:val="4FDF04DE"/>
    <w:rsid w:val="4FED2DDF"/>
    <w:rsid w:val="4FEF7AEE"/>
    <w:rsid w:val="50095726"/>
    <w:rsid w:val="501C19C0"/>
    <w:rsid w:val="508A1C09"/>
    <w:rsid w:val="50974594"/>
    <w:rsid w:val="509C68AE"/>
    <w:rsid w:val="50A00E0A"/>
    <w:rsid w:val="50AA076B"/>
    <w:rsid w:val="50BB08FC"/>
    <w:rsid w:val="50C8299F"/>
    <w:rsid w:val="50CF1F61"/>
    <w:rsid w:val="50F9524E"/>
    <w:rsid w:val="511F43B8"/>
    <w:rsid w:val="512F3500"/>
    <w:rsid w:val="513348AF"/>
    <w:rsid w:val="51396FA9"/>
    <w:rsid w:val="513C653B"/>
    <w:rsid w:val="513D4B79"/>
    <w:rsid w:val="51433690"/>
    <w:rsid w:val="518A5F03"/>
    <w:rsid w:val="51B2563A"/>
    <w:rsid w:val="51D46736"/>
    <w:rsid w:val="52071D8B"/>
    <w:rsid w:val="52254821"/>
    <w:rsid w:val="523073D5"/>
    <w:rsid w:val="52336EB5"/>
    <w:rsid w:val="52735112"/>
    <w:rsid w:val="528D06DC"/>
    <w:rsid w:val="529E498E"/>
    <w:rsid w:val="52A1794C"/>
    <w:rsid w:val="52D617C8"/>
    <w:rsid w:val="52D95337"/>
    <w:rsid w:val="52F636BC"/>
    <w:rsid w:val="52FE0DB8"/>
    <w:rsid w:val="5310689D"/>
    <w:rsid w:val="53161B10"/>
    <w:rsid w:val="53373072"/>
    <w:rsid w:val="534D2C48"/>
    <w:rsid w:val="53695580"/>
    <w:rsid w:val="53721547"/>
    <w:rsid w:val="539D5520"/>
    <w:rsid w:val="53B350FB"/>
    <w:rsid w:val="53C102A5"/>
    <w:rsid w:val="53D65619"/>
    <w:rsid w:val="53D70411"/>
    <w:rsid w:val="540E5ECC"/>
    <w:rsid w:val="546F44C9"/>
    <w:rsid w:val="5479497B"/>
    <w:rsid w:val="54F9336F"/>
    <w:rsid w:val="55403F22"/>
    <w:rsid w:val="555E070E"/>
    <w:rsid w:val="557D324F"/>
    <w:rsid w:val="557D6927"/>
    <w:rsid w:val="55964EBA"/>
    <w:rsid w:val="55AE181F"/>
    <w:rsid w:val="55E0595B"/>
    <w:rsid w:val="56010107"/>
    <w:rsid w:val="5608147C"/>
    <w:rsid w:val="560B0A66"/>
    <w:rsid w:val="561E3D77"/>
    <w:rsid w:val="563E38C8"/>
    <w:rsid w:val="569620E6"/>
    <w:rsid w:val="569F1D2D"/>
    <w:rsid w:val="56A54DB1"/>
    <w:rsid w:val="56E35BB8"/>
    <w:rsid w:val="56E81E5B"/>
    <w:rsid w:val="56F9628E"/>
    <w:rsid w:val="56FA5717"/>
    <w:rsid w:val="57160180"/>
    <w:rsid w:val="57365F3B"/>
    <w:rsid w:val="57586B75"/>
    <w:rsid w:val="57B23D3F"/>
    <w:rsid w:val="57C71611"/>
    <w:rsid w:val="57CB6385"/>
    <w:rsid w:val="57CE5954"/>
    <w:rsid w:val="58240A08"/>
    <w:rsid w:val="583F18BE"/>
    <w:rsid w:val="584222E0"/>
    <w:rsid w:val="58435AD6"/>
    <w:rsid w:val="58621E13"/>
    <w:rsid w:val="586A19AF"/>
    <w:rsid w:val="586F0D80"/>
    <w:rsid w:val="58AA7C16"/>
    <w:rsid w:val="58B227FB"/>
    <w:rsid w:val="58B40BCA"/>
    <w:rsid w:val="594A2AEB"/>
    <w:rsid w:val="59577238"/>
    <w:rsid w:val="595D1F94"/>
    <w:rsid w:val="596137B4"/>
    <w:rsid w:val="59687C50"/>
    <w:rsid w:val="596A54EC"/>
    <w:rsid w:val="5979268D"/>
    <w:rsid w:val="59A230C3"/>
    <w:rsid w:val="59A31549"/>
    <w:rsid w:val="59B00B61"/>
    <w:rsid w:val="59CB6E88"/>
    <w:rsid w:val="5A04226A"/>
    <w:rsid w:val="5A2B5655"/>
    <w:rsid w:val="5A42047A"/>
    <w:rsid w:val="5A4546CC"/>
    <w:rsid w:val="5A6042E3"/>
    <w:rsid w:val="5A6E7F93"/>
    <w:rsid w:val="5ADF0DF4"/>
    <w:rsid w:val="5B0E7C47"/>
    <w:rsid w:val="5B117010"/>
    <w:rsid w:val="5B1A089C"/>
    <w:rsid w:val="5B2643D5"/>
    <w:rsid w:val="5B3F59D4"/>
    <w:rsid w:val="5B5432A8"/>
    <w:rsid w:val="5B554385"/>
    <w:rsid w:val="5B5C27E2"/>
    <w:rsid w:val="5B656411"/>
    <w:rsid w:val="5B920DC7"/>
    <w:rsid w:val="5B9626CA"/>
    <w:rsid w:val="5BCB77E7"/>
    <w:rsid w:val="5BDC6801"/>
    <w:rsid w:val="5BE31DCA"/>
    <w:rsid w:val="5BF5091A"/>
    <w:rsid w:val="5C1E7A31"/>
    <w:rsid w:val="5C3404F6"/>
    <w:rsid w:val="5C937964"/>
    <w:rsid w:val="5CA9108F"/>
    <w:rsid w:val="5CB30274"/>
    <w:rsid w:val="5CD27B13"/>
    <w:rsid w:val="5CD83212"/>
    <w:rsid w:val="5CEA6518"/>
    <w:rsid w:val="5D0535F0"/>
    <w:rsid w:val="5D0B2C58"/>
    <w:rsid w:val="5D1E31EF"/>
    <w:rsid w:val="5D481CEF"/>
    <w:rsid w:val="5D4A4276"/>
    <w:rsid w:val="5D4D32BD"/>
    <w:rsid w:val="5D5E0B52"/>
    <w:rsid w:val="5D847905"/>
    <w:rsid w:val="5D904A0E"/>
    <w:rsid w:val="5DD0072E"/>
    <w:rsid w:val="5DD83CB9"/>
    <w:rsid w:val="5DF50184"/>
    <w:rsid w:val="5DFC6CCB"/>
    <w:rsid w:val="5E1F4DEA"/>
    <w:rsid w:val="5E4244E9"/>
    <w:rsid w:val="5EA51863"/>
    <w:rsid w:val="5EE7529C"/>
    <w:rsid w:val="5F3B26AA"/>
    <w:rsid w:val="5F417156"/>
    <w:rsid w:val="5F4B4BE4"/>
    <w:rsid w:val="5F625880"/>
    <w:rsid w:val="5FB14CFA"/>
    <w:rsid w:val="5FBF0852"/>
    <w:rsid w:val="5FC92450"/>
    <w:rsid w:val="5FD15E6D"/>
    <w:rsid w:val="600A7A52"/>
    <w:rsid w:val="600F27BD"/>
    <w:rsid w:val="602077B4"/>
    <w:rsid w:val="60225B1F"/>
    <w:rsid w:val="603B5186"/>
    <w:rsid w:val="605421C2"/>
    <w:rsid w:val="60746053"/>
    <w:rsid w:val="60912456"/>
    <w:rsid w:val="609B762B"/>
    <w:rsid w:val="60EA4BBC"/>
    <w:rsid w:val="61241E74"/>
    <w:rsid w:val="617A3F41"/>
    <w:rsid w:val="619678AE"/>
    <w:rsid w:val="61C613E2"/>
    <w:rsid w:val="61CC6C53"/>
    <w:rsid w:val="620A7A2F"/>
    <w:rsid w:val="6210299D"/>
    <w:rsid w:val="62182EC6"/>
    <w:rsid w:val="621A37C8"/>
    <w:rsid w:val="62491CB3"/>
    <w:rsid w:val="62563B79"/>
    <w:rsid w:val="625958A5"/>
    <w:rsid w:val="628F5278"/>
    <w:rsid w:val="62974414"/>
    <w:rsid w:val="62B15464"/>
    <w:rsid w:val="62CF13EC"/>
    <w:rsid w:val="62D34586"/>
    <w:rsid w:val="62F80A91"/>
    <w:rsid w:val="63343EC4"/>
    <w:rsid w:val="633B7E2D"/>
    <w:rsid w:val="634F2F3D"/>
    <w:rsid w:val="636B73AE"/>
    <w:rsid w:val="636C2365"/>
    <w:rsid w:val="637A5258"/>
    <w:rsid w:val="637D06EB"/>
    <w:rsid w:val="63AC0D80"/>
    <w:rsid w:val="63E108E5"/>
    <w:rsid w:val="63E91153"/>
    <w:rsid w:val="63F43FAB"/>
    <w:rsid w:val="640A2BEB"/>
    <w:rsid w:val="64186569"/>
    <w:rsid w:val="64285483"/>
    <w:rsid w:val="64381A78"/>
    <w:rsid w:val="64F753A2"/>
    <w:rsid w:val="653827A3"/>
    <w:rsid w:val="654F060F"/>
    <w:rsid w:val="65585701"/>
    <w:rsid w:val="6571508C"/>
    <w:rsid w:val="659F3772"/>
    <w:rsid w:val="65AC62AE"/>
    <w:rsid w:val="65D50F90"/>
    <w:rsid w:val="65D85914"/>
    <w:rsid w:val="66056572"/>
    <w:rsid w:val="661F0A0E"/>
    <w:rsid w:val="661F1D17"/>
    <w:rsid w:val="6625110D"/>
    <w:rsid w:val="66445E49"/>
    <w:rsid w:val="665A3237"/>
    <w:rsid w:val="66630770"/>
    <w:rsid w:val="666F1DE3"/>
    <w:rsid w:val="669D679D"/>
    <w:rsid w:val="66FD35E0"/>
    <w:rsid w:val="672322B0"/>
    <w:rsid w:val="675C2325"/>
    <w:rsid w:val="67627252"/>
    <w:rsid w:val="67657964"/>
    <w:rsid w:val="676D7B4D"/>
    <w:rsid w:val="6780313F"/>
    <w:rsid w:val="67854F9D"/>
    <w:rsid w:val="67977D4E"/>
    <w:rsid w:val="67A30CA6"/>
    <w:rsid w:val="67B3508B"/>
    <w:rsid w:val="67BE5505"/>
    <w:rsid w:val="67CD6690"/>
    <w:rsid w:val="67F36971"/>
    <w:rsid w:val="68163F31"/>
    <w:rsid w:val="687C3BE0"/>
    <w:rsid w:val="687F2AF8"/>
    <w:rsid w:val="68AB076E"/>
    <w:rsid w:val="68BA02AB"/>
    <w:rsid w:val="68D87B66"/>
    <w:rsid w:val="68EB6974"/>
    <w:rsid w:val="691927AE"/>
    <w:rsid w:val="691B391F"/>
    <w:rsid w:val="69617D60"/>
    <w:rsid w:val="69687412"/>
    <w:rsid w:val="696C1A28"/>
    <w:rsid w:val="697E7A26"/>
    <w:rsid w:val="699B73A8"/>
    <w:rsid w:val="69E50E08"/>
    <w:rsid w:val="69FE6806"/>
    <w:rsid w:val="6A0404A9"/>
    <w:rsid w:val="6A1303AB"/>
    <w:rsid w:val="6A531FDE"/>
    <w:rsid w:val="6A6F611E"/>
    <w:rsid w:val="6A70715D"/>
    <w:rsid w:val="6A827B75"/>
    <w:rsid w:val="6A840BC2"/>
    <w:rsid w:val="6A906CC0"/>
    <w:rsid w:val="6A9F5EAD"/>
    <w:rsid w:val="6AA04B46"/>
    <w:rsid w:val="6ACD410B"/>
    <w:rsid w:val="6AE03838"/>
    <w:rsid w:val="6AFB29E5"/>
    <w:rsid w:val="6B07227F"/>
    <w:rsid w:val="6B2B7E15"/>
    <w:rsid w:val="6B457993"/>
    <w:rsid w:val="6B722496"/>
    <w:rsid w:val="6B89131A"/>
    <w:rsid w:val="6B8F7565"/>
    <w:rsid w:val="6B961A5B"/>
    <w:rsid w:val="6B985891"/>
    <w:rsid w:val="6C0617E4"/>
    <w:rsid w:val="6C376E3F"/>
    <w:rsid w:val="6CAD12CC"/>
    <w:rsid w:val="6CB250F3"/>
    <w:rsid w:val="6CBF1A0D"/>
    <w:rsid w:val="6CC84898"/>
    <w:rsid w:val="6D074EAC"/>
    <w:rsid w:val="6D34343E"/>
    <w:rsid w:val="6D4B5A55"/>
    <w:rsid w:val="6D734E8A"/>
    <w:rsid w:val="6D7E533B"/>
    <w:rsid w:val="6DAF296E"/>
    <w:rsid w:val="6DDA2238"/>
    <w:rsid w:val="6E120D2A"/>
    <w:rsid w:val="6E3E2D07"/>
    <w:rsid w:val="6E4D6901"/>
    <w:rsid w:val="6E55366C"/>
    <w:rsid w:val="6E906A8D"/>
    <w:rsid w:val="6E9B0DD8"/>
    <w:rsid w:val="6EB02F99"/>
    <w:rsid w:val="6ED22F4B"/>
    <w:rsid w:val="6EDB54F5"/>
    <w:rsid w:val="6EE46197"/>
    <w:rsid w:val="6EEA3AFD"/>
    <w:rsid w:val="6F127145"/>
    <w:rsid w:val="6F243B76"/>
    <w:rsid w:val="6F4C72F5"/>
    <w:rsid w:val="6F7C1FEF"/>
    <w:rsid w:val="6F881820"/>
    <w:rsid w:val="6FD54B20"/>
    <w:rsid w:val="70267678"/>
    <w:rsid w:val="704F5BB9"/>
    <w:rsid w:val="70880520"/>
    <w:rsid w:val="71015BE7"/>
    <w:rsid w:val="71570437"/>
    <w:rsid w:val="715F13CC"/>
    <w:rsid w:val="71A028DC"/>
    <w:rsid w:val="71E7354A"/>
    <w:rsid w:val="71FF2B82"/>
    <w:rsid w:val="721065A7"/>
    <w:rsid w:val="72262F4F"/>
    <w:rsid w:val="72404167"/>
    <w:rsid w:val="726B46CA"/>
    <w:rsid w:val="72986C22"/>
    <w:rsid w:val="72B02B60"/>
    <w:rsid w:val="72DC2FC4"/>
    <w:rsid w:val="72FD6D11"/>
    <w:rsid w:val="73065251"/>
    <w:rsid w:val="731C2EFD"/>
    <w:rsid w:val="7361339E"/>
    <w:rsid w:val="73644F8E"/>
    <w:rsid w:val="737E2D1F"/>
    <w:rsid w:val="738349FE"/>
    <w:rsid w:val="73874401"/>
    <w:rsid w:val="73986F17"/>
    <w:rsid w:val="73CE2DA1"/>
    <w:rsid w:val="741E15E9"/>
    <w:rsid w:val="74583100"/>
    <w:rsid w:val="74844CAB"/>
    <w:rsid w:val="75023D45"/>
    <w:rsid w:val="75145C3D"/>
    <w:rsid w:val="751D0546"/>
    <w:rsid w:val="754D55BC"/>
    <w:rsid w:val="754F7F3F"/>
    <w:rsid w:val="759406CF"/>
    <w:rsid w:val="759A6659"/>
    <w:rsid w:val="759A685A"/>
    <w:rsid w:val="75BE058E"/>
    <w:rsid w:val="76003B68"/>
    <w:rsid w:val="764A2175"/>
    <w:rsid w:val="76995DBC"/>
    <w:rsid w:val="769E46B1"/>
    <w:rsid w:val="76C1141F"/>
    <w:rsid w:val="76CB6B21"/>
    <w:rsid w:val="76D0411E"/>
    <w:rsid w:val="76D16000"/>
    <w:rsid w:val="770C2128"/>
    <w:rsid w:val="771F1885"/>
    <w:rsid w:val="774C41D4"/>
    <w:rsid w:val="774F1A24"/>
    <w:rsid w:val="775532E3"/>
    <w:rsid w:val="77585489"/>
    <w:rsid w:val="779D0A98"/>
    <w:rsid w:val="779E5351"/>
    <w:rsid w:val="77A5337F"/>
    <w:rsid w:val="77B42F9B"/>
    <w:rsid w:val="77DD5BEB"/>
    <w:rsid w:val="77F97C45"/>
    <w:rsid w:val="781100F3"/>
    <w:rsid w:val="78280476"/>
    <w:rsid w:val="782B0ADA"/>
    <w:rsid w:val="7833231F"/>
    <w:rsid w:val="784E58D4"/>
    <w:rsid w:val="784E6AD9"/>
    <w:rsid w:val="78517809"/>
    <w:rsid w:val="785A5064"/>
    <w:rsid w:val="789606CD"/>
    <w:rsid w:val="789A5B12"/>
    <w:rsid w:val="78A10A6B"/>
    <w:rsid w:val="78DD4D40"/>
    <w:rsid w:val="78F175FE"/>
    <w:rsid w:val="79000C5D"/>
    <w:rsid w:val="790E6A01"/>
    <w:rsid w:val="79386064"/>
    <w:rsid w:val="795700DA"/>
    <w:rsid w:val="79755ECD"/>
    <w:rsid w:val="79A664CD"/>
    <w:rsid w:val="7A344A7E"/>
    <w:rsid w:val="7A350790"/>
    <w:rsid w:val="7A5B7707"/>
    <w:rsid w:val="7A766991"/>
    <w:rsid w:val="7A887C50"/>
    <w:rsid w:val="7A9D6AC7"/>
    <w:rsid w:val="7AB16D5F"/>
    <w:rsid w:val="7AB820B2"/>
    <w:rsid w:val="7ACB4CB6"/>
    <w:rsid w:val="7ACC35B0"/>
    <w:rsid w:val="7ADA7DA8"/>
    <w:rsid w:val="7AF74591"/>
    <w:rsid w:val="7B1150DA"/>
    <w:rsid w:val="7B1B3E90"/>
    <w:rsid w:val="7B4E6F79"/>
    <w:rsid w:val="7B515A8A"/>
    <w:rsid w:val="7B876E2F"/>
    <w:rsid w:val="7B993AAA"/>
    <w:rsid w:val="7BB10732"/>
    <w:rsid w:val="7BB33137"/>
    <w:rsid w:val="7BCB51C4"/>
    <w:rsid w:val="7BF91849"/>
    <w:rsid w:val="7BFC15CB"/>
    <w:rsid w:val="7C1B4A50"/>
    <w:rsid w:val="7C5C6754"/>
    <w:rsid w:val="7C7575D0"/>
    <w:rsid w:val="7C9D3270"/>
    <w:rsid w:val="7CA9484D"/>
    <w:rsid w:val="7CB4324F"/>
    <w:rsid w:val="7CC820DC"/>
    <w:rsid w:val="7CE365FC"/>
    <w:rsid w:val="7CF12EF7"/>
    <w:rsid w:val="7CF639DE"/>
    <w:rsid w:val="7D03683D"/>
    <w:rsid w:val="7D073A09"/>
    <w:rsid w:val="7D09181F"/>
    <w:rsid w:val="7D197F5B"/>
    <w:rsid w:val="7D2D376E"/>
    <w:rsid w:val="7D4B0427"/>
    <w:rsid w:val="7D6B1BD1"/>
    <w:rsid w:val="7D852713"/>
    <w:rsid w:val="7DE66EE4"/>
    <w:rsid w:val="7DFD02BF"/>
    <w:rsid w:val="7E004D1D"/>
    <w:rsid w:val="7E0A657E"/>
    <w:rsid w:val="7E187E7B"/>
    <w:rsid w:val="7E4F25B6"/>
    <w:rsid w:val="7E800146"/>
    <w:rsid w:val="7ECA4153"/>
    <w:rsid w:val="7ECE329C"/>
    <w:rsid w:val="7EDE1639"/>
    <w:rsid w:val="7F196AB2"/>
    <w:rsid w:val="7F556DC5"/>
    <w:rsid w:val="7FF23570"/>
    <w:rsid w:val="7FF878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7"/>
    <w:qFormat/>
    <w:uiPriority w:val="0"/>
    <w:pPr>
      <w:keepNext/>
      <w:keepLines/>
      <w:spacing w:before="260" w:after="260" w:line="413" w:lineRule="auto"/>
      <w:outlineLvl w:val="2"/>
    </w:pPr>
    <w:rPr>
      <w:b/>
      <w:bCs/>
      <w:sz w:val="32"/>
      <w:szCs w:val="32"/>
    </w:rPr>
  </w:style>
  <w:style w:type="paragraph" w:styleId="6">
    <w:name w:val="heading 4"/>
    <w:basedOn w:val="1"/>
    <w:next w:val="1"/>
    <w:link w:val="6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semiHidden/>
    <w:qFormat/>
    <w:uiPriority w:val="99"/>
    <w:pPr>
      <w:jc w:val="left"/>
    </w:pPr>
  </w:style>
  <w:style w:type="paragraph" w:styleId="13">
    <w:name w:val="Body Text"/>
    <w:basedOn w:val="1"/>
    <w:next w:val="14"/>
    <w:link w:val="75"/>
    <w:qFormat/>
    <w:uiPriority w:val="0"/>
    <w:pPr>
      <w:spacing w:after="120"/>
    </w:pPr>
    <w:rPr>
      <w:szCs w:val="24"/>
    </w:rPr>
  </w:style>
  <w:style w:type="paragraph" w:styleId="14">
    <w:name w:val="Body Text First Indent"/>
    <w:basedOn w:val="13"/>
    <w:qFormat/>
    <w:uiPriority w:val="0"/>
    <w:pPr>
      <w:ind w:firstLine="420" w:firstLineChars="100"/>
    </w:pPr>
  </w:style>
  <w:style w:type="paragraph" w:styleId="15">
    <w:name w:val="Body Text Indent"/>
    <w:basedOn w:val="1"/>
    <w:link w:val="60"/>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70"/>
    <w:qFormat/>
    <w:uiPriority w:val="0"/>
    <w:rPr>
      <w:rFonts w:ascii="宋体" w:hAnsi="Courier New"/>
      <w:szCs w:val="21"/>
    </w:rPr>
  </w:style>
  <w:style w:type="paragraph" w:styleId="18">
    <w:name w:val="Balloon Text"/>
    <w:basedOn w:val="1"/>
    <w:link w:val="77"/>
    <w:unhideWhenUsed/>
    <w:qFormat/>
    <w:uiPriority w:val="99"/>
    <w:rPr>
      <w:sz w:val="18"/>
      <w:szCs w:val="18"/>
    </w:rPr>
  </w:style>
  <w:style w:type="paragraph" w:styleId="19">
    <w:name w:val="footer"/>
    <w:basedOn w:val="1"/>
    <w:link w:val="71"/>
    <w:unhideWhenUsed/>
    <w:qFormat/>
    <w:uiPriority w:val="99"/>
    <w:pPr>
      <w:tabs>
        <w:tab w:val="center" w:pos="4153"/>
        <w:tab w:val="right" w:pos="8306"/>
      </w:tabs>
      <w:snapToGrid w:val="0"/>
      <w:jc w:val="left"/>
    </w:pPr>
    <w:rPr>
      <w:sz w:val="18"/>
      <w:szCs w:val="18"/>
    </w:rPr>
  </w:style>
  <w:style w:type="paragraph" w:styleId="20">
    <w:name w:val="header"/>
    <w:basedOn w:val="1"/>
    <w:link w:val="68"/>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FollowedHyperlink"/>
    <w:basedOn w:val="27"/>
    <w:qFormat/>
    <w:uiPriority w:val="0"/>
    <w:rPr>
      <w:color w:val="800080"/>
      <w:u w:val="single"/>
    </w:rPr>
  </w:style>
  <w:style w:type="character" w:styleId="29">
    <w:name w:val="Emphasis"/>
    <w:basedOn w:val="27"/>
    <w:qFormat/>
    <w:uiPriority w:val="20"/>
    <w:rPr>
      <w:i/>
    </w:rPr>
  </w:style>
  <w:style w:type="character" w:styleId="30">
    <w:name w:val="Hyperlink"/>
    <w:qFormat/>
    <w:uiPriority w:val="99"/>
    <w:rPr>
      <w:color w:val="0000FF"/>
      <w:u w:val="single"/>
    </w:rPr>
  </w:style>
  <w:style w:type="paragraph" w:customStyle="1" w:styleId="31">
    <w:name w:val="000 空行"/>
    <w:basedOn w:val="1"/>
    <w:qFormat/>
    <w:uiPriority w:val="99"/>
    <w:rPr>
      <w:rFonts w:ascii="宋体" w:hAnsi="宋体"/>
    </w:r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customStyle="1" w:styleId="33">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4">
    <w:name w:val="CM10"/>
    <w:basedOn w:val="33"/>
    <w:next w:val="33"/>
    <w:unhideWhenUsed/>
    <w:qFormat/>
    <w:uiPriority w:val="99"/>
    <w:pPr>
      <w:spacing w:line="408" w:lineRule="atLeast"/>
    </w:pPr>
    <w:rPr>
      <w:rFonts w:hint="default"/>
    </w:rPr>
  </w:style>
  <w:style w:type="paragraph" w:customStyle="1" w:styleId="35">
    <w:name w:val="CM3"/>
    <w:basedOn w:val="33"/>
    <w:next w:val="33"/>
    <w:unhideWhenUsed/>
    <w:qFormat/>
    <w:uiPriority w:val="99"/>
    <w:pPr>
      <w:spacing w:line="408" w:lineRule="atLeast"/>
    </w:pPr>
    <w:rPr>
      <w:rFonts w:hint="default"/>
    </w:rPr>
  </w:style>
  <w:style w:type="paragraph" w:customStyle="1" w:styleId="36">
    <w:name w:val="CM4"/>
    <w:basedOn w:val="33"/>
    <w:next w:val="33"/>
    <w:unhideWhenUsed/>
    <w:qFormat/>
    <w:uiPriority w:val="99"/>
    <w:pPr>
      <w:spacing w:line="411" w:lineRule="atLeast"/>
    </w:pPr>
    <w:rPr>
      <w:rFonts w:hint="default"/>
    </w:rPr>
  </w:style>
  <w:style w:type="paragraph" w:customStyle="1" w:styleId="37">
    <w:name w:val="Table Paragraph"/>
    <w:basedOn w:val="1"/>
    <w:qFormat/>
    <w:uiPriority w:val="1"/>
    <w:rPr>
      <w:rFonts w:ascii="宋体" w:hAnsi="宋体" w:cs="宋体"/>
      <w:lang w:val="zh-CN" w:bidi="zh-CN"/>
    </w:rPr>
  </w:style>
  <w:style w:type="paragraph" w:customStyle="1" w:styleId="38">
    <w:name w:val="List Paragraph"/>
    <w:basedOn w:val="1"/>
    <w:link w:val="65"/>
    <w:qFormat/>
    <w:uiPriority w:val="0"/>
    <w:pPr>
      <w:ind w:firstLine="420" w:firstLineChars="200"/>
    </w:pPr>
    <w:rPr>
      <w:szCs w:val="20"/>
    </w:rPr>
  </w:style>
  <w:style w:type="paragraph" w:customStyle="1" w:styleId="39">
    <w:name w:val="Char Char Char Char"/>
    <w:basedOn w:val="1"/>
    <w:qFormat/>
    <w:uiPriority w:val="0"/>
    <w:pPr>
      <w:widowControl/>
      <w:spacing w:after="160" w:line="240" w:lineRule="exact"/>
      <w:jc w:val="left"/>
    </w:pPr>
    <w:rPr>
      <w:szCs w:val="24"/>
    </w:rPr>
  </w:style>
  <w:style w:type="paragraph" w:customStyle="1" w:styleId="40">
    <w:name w:val="CM16"/>
    <w:basedOn w:val="33"/>
    <w:next w:val="33"/>
    <w:unhideWhenUsed/>
    <w:qFormat/>
    <w:uiPriority w:val="99"/>
    <w:pPr>
      <w:spacing w:line="411" w:lineRule="atLeast"/>
    </w:pPr>
    <w:rPr>
      <w:rFonts w:hint="default"/>
    </w:rPr>
  </w:style>
  <w:style w:type="paragraph" w:customStyle="1" w:styleId="41">
    <w:name w:val="CM13"/>
    <w:basedOn w:val="33"/>
    <w:next w:val="33"/>
    <w:unhideWhenUsed/>
    <w:qFormat/>
    <w:uiPriority w:val="99"/>
    <w:pPr>
      <w:spacing w:line="408" w:lineRule="atLeast"/>
    </w:pPr>
    <w:rPr>
      <w:rFonts w:hint="default"/>
    </w:rPr>
  </w:style>
  <w:style w:type="paragraph" w:customStyle="1" w:styleId="42">
    <w:name w:val="CM27"/>
    <w:basedOn w:val="33"/>
    <w:next w:val="33"/>
    <w:unhideWhenUsed/>
    <w:qFormat/>
    <w:uiPriority w:val="99"/>
    <w:pPr>
      <w:spacing w:line="411" w:lineRule="atLeast"/>
    </w:pPr>
    <w:rPr>
      <w:rFonts w:hint="default"/>
    </w:rPr>
  </w:style>
  <w:style w:type="paragraph" w:customStyle="1" w:styleId="43">
    <w:name w:val="文中正文"/>
    <w:basedOn w:val="1"/>
    <w:qFormat/>
    <w:uiPriority w:val="99"/>
    <w:pPr>
      <w:ind w:firstLine="640" w:firstLineChars="200"/>
    </w:pPr>
    <w:rPr>
      <w:rFonts w:eastAsia="方正楷体简体"/>
      <w:bCs/>
      <w:spacing w:val="20"/>
      <w:sz w:val="28"/>
      <w:szCs w:val="24"/>
    </w:rPr>
  </w:style>
  <w:style w:type="paragraph" w:customStyle="1" w:styleId="4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5">
    <w:name w:val="CM5"/>
    <w:basedOn w:val="33"/>
    <w:next w:val="33"/>
    <w:unhideWhenUsed/>
    <w:qFormat/>
    <w:uiPriority w:val="99"/>
    <w:pPr>
      <w:spacing w:line="411" w:lineRule="atLeast"/>
    </w:pPr>
    <w:rPr>
      <w:rFonts w:hint="default"/>
    </w:rPr>
  </w:style>
  <w:style w:type="paragraph" w:customStyle="1" w:styleId="46">
    <w:name w:val="列出段落1"/>
    <w:basedOn w:val="1"/>
    <w:qFormat/>
    <w:uiPriority w:val="0"/>
    <w:pPr>
      <w:ind w:firstLine="420" w:firstLineChars="200"/>
    </w:pPr>
  </w:style>
  <w:style w:type="paragraph" w:customStyle="1" w:styleId="47">
    <w:name w:val="CM7"/>
    <w:basedOn w:val="33"/>
    <w:next w:val="33"/>
    <w:unhideWhenUsed/>
    <w:qFormat/>
    <w:uiPriority w:val="99"/>
    <w:pPr>
      <w:spacing w:line="408" w:lineRule="atLeast"/>
    </w:pPr>
    <w:rPr>
      <w:rFonts w:hint="default"/>
    </w:rPr>
  </w:style>
  <w:style w:type="paragraph" w:customStyle="1" w:styleId="48">
    <w:name w:val="p0"/>
    <w:basedOn w:val="1"/>
    <w:qFormat/>
    <w:uiPriority w:val="99"/>
    <w:pPr>
      <w:widowControl/>
      <w:jc w:val="left"/>
    </w:pPr>
    <w:rPr>
      <w:rFonts w:cs="宋体"/>
      <w:kern w:val="0"/>
      <w:szCs w:val="21"/>
    </w:rPr>
  </w:style>
  <w:style w:type="paragraph" w:customStyle="1" w:styleId="49">
    <w:name w:val="CM9"/>
    <w:basedOn w:val="33"/>
    <w:next w:val="33"/>
    <w:unhideWhenUsed/>
    <w:qFormat/>
    <w:uiPriority w:val="99"/>
    <w:pPr>
      <w:spacing w:line="408" w:lineRule="atLeast"/>
    </w:pPr>
    <w:rPr>
      <w:rFonts w:hint="default"/>
    </w:rPr>
  </w:style>
  <w:style w:type="paragraph" w:customStyle="1" w:styleId="50">
    <w:name w:val="CM8"/>
    <w:basedOn w:val="33"/>
    <w:next w:val="33"/>
    <w:unhideWhenUsed/>
    <w:qFormat/>
    <w:uiPriority w:val="99"/>
    <w:pPr>
      <w:spacing w:line="408" w:lineRule="atLeast"/>
    </w:pPr>
    <w:rPr>
      <w:rFonts w:hint="default"/>
    </w:rPr>
  </w:style>
  <w:style w:type="paragraph" w:customStyle="1" w:styleId="51">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2">
    <w:name w:val="大标题"/>
    <w:basedOn w:val="1"/>
    <w:qFormat/>
    <w:uiPriority w:val="99"/>
    <w:pPr>
      <w:spacing w:beforeLines="100" w:afterLines="50"/>
      <w:jc w:val="center"/>
    </w:pPr>
    <w:rPr>
      <w:rFonts w:eastAsia="方正魏碑简体"/>
      <w:bCs/>
      <w:spacing w:val="20"/>
      <w:sz w:val="72"/>
      <w:szCs w:val="24"/>
    </w:rPr>
  </w:style>
  <w:style w:type="paragraph" w:customStyle="1" w:styleId="53">
    <w:name w:val="_Style 4"/>
    <w:basedOn w:val="1"/>
    <w:qFormat/>
    <w:uiPriority w:val="34"/>
    <w:pPr>
      <w:ind w:firstLine="420" w:firstLineChars="200"/>
    </w:pPr>
  </w:style>
  <w:style w:type="paragraph" w:customStyle="1" w:styleId="54">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5">
    <w:name w:val="Body Text First Indent 2"/>
    <w:basedOn w:val="56"/>
    <w:qFormat/>
    <w:uiPriority w:val="0"/>
    <w:pPr>
      <w:ind w:firstLine="420" w:firstLineChars="200"/>
    </w:pPr>
    <w:rPr>
      <w:kern w:val="2"/>
      <w:sz w:val="21"/>
      <w:szCs w:val="24"/>
    </w:rPr>
  </w:style>
  <w:style w:type="paragraph" w:customStyle="1" w:styleId="56">
    <w:name w:val="Body Text Indent"/>
    <w:basedOn w:val="1"/>
    <w:qFormat/>
    <w:uiPriority w:val="0"/>
    <w:pPr>
      <w:spacing w:after="120" w:afterLines="0"/>
      <w:ind w:left="420" w:leftChars="200"/>
    </w:pPr>
    <w:rPr>
      <w:kern w:val="2"/>
      <w:sz w:val="21"/>
      <w:szCs w:val="24"/>
    </w:rPr>
  </w:style>
  <w:style w:type="paragraph" w:customStyle="1" w:styleId="57">
    <w:name w:val="Plain Text"/>
    <w:basedOn w:val="1"/>
    <w:qFormat/>
    <w:uiPriority w:val="0"/>
    <w:rPr>
      <w:rFonts w:ascii="宋体" w:hAnsi="Courier New" w:eastAsia="宋体" w:cs="Courier New"/>
      <w:kern w:val="2"/>
      <w:sz w:val="21"/>
      <w:szCs w:val="21"/>
      <w:lang w:val="en-US" w:eastAsia="zh-CN"/>
    </w:rPr>
  </w:style>
  <w:style w:type="paragraph" w:customStyle="1" w:styleId="58">
    <w:name w:val="纯文本 Char Char"/>
    <w:basedOn w:val="1"/>
    <w:qFormat/>
    <w:uiPriority w:val="0"/>
    <w:rPr>
      <w:rFonts w:ascii="宋体" w:hAnsi="Courier New" w:cs="Courier New"/>
      <w:szCs w:val="21"/>
    </w:rPr>
  </w:style>
  <w:style w:type="character" w:customStyle="1" w:styleId="59">
    <w:name w:val="标题 6 Char"/>
    <w:link w:val="7"/>
    <w:qFormat/>
    <w:uiPriority w:val="1"/>
    <w:rPr>
      <w:rFonts w:ascii="宋体" w:hAnsi="宋体" w:eastAsia="宋体" w:cs="宋体"/>
      <w:b/>
      <w:bCs/>
      <w:sz w:val="36"/>
      <w:szCs w:val="36"/>
      <w:lang w:val="zh-CN" w:eastAsia="zh-CN" w:bidi="zh-CN"/>
    </w:rPr>
  </w:style>
  <w:style w:type="character" w:customStyle="1" w:styleId="60">
    <w:name w:val="正文文本缩进 Char1"/>
    <w:link w:val="15"/>
    <w:qFormat/>
    <w:uiPriority w:val="0"/>
    <w:rPr>
      <w:kern w:val="2"/>
      <w:sz w:val="21"/>
      <w:szCs w:val="24"/>
    </w:rPr>
  </w:style>
  <w:style w:type="character" w:customStyle="1" w:styleId="61">
    <w:name w:val="标题 4 Char"/>
    <w:link w:val="6"/>
    <w:qFormat/>
    <w:uiPriority w:val="0"/>
    <w:rPr>
      <w:rFonts w:ascii="Arial" w:hAnsi="Arial" w:eastAsia="黑体"/>
      <w:b/>
      <w:sz w:val="28"/>
    </w:rPr>
  </w:style>
  <w:style w:type="character" w:customStyle="1" w:styleId="62">
    <w:name w:val="纯文本 Char"/>
    <w:qFormat/>
    <w:uiPriority w:val="0"/>
    <w:rPr>
      <w:rFonts w:ascii="宋体" w:hAnsi="Courier New" w:eastAsia="宋体" w:cs="Courier New"/>
      <w:kern w:val="2"/>
      <w:sz w:val="21"/>
      <w:szCs w:val="21"/>
    </w:rPr>
  </w:style>
  <w:style w:type="character" w:customStyle="1" w:styleId="63">
    <w:name w:val="font51"/>
    <w:basedOn w:val="27"/>
    <w:qFormat/>
    <w:uiPriority w:val="0"/>
    <w:rPr>
      <w:rFonts w:hint="eastAsia" w:ascii="宋体" w:hAnsi="宋体" w:eastAsia="宋体" w:cs="宋体"/>
      <w:color w:val="000000"/>
      <w:sz w:val="18"/>
      <w:szCs w:val="18"/>
      <w:u w:val="none"/>
    </w:rPr>
  </w:style>
  <w:style w:type="character" w:customStyle="1" w:styleId="64">
    <w:name w:val="font21"/>
    <w:basedOn w:val="27"/>
    <w:qFormat/>
    <w:uiPriority w:val="0"/>
    <w:rPr>
      <w:rFonts w:hint="eastAsia" w:ascii="黑体" w:hAnsi="宋体" w:eastAsia="黑体" w:cs="黑体"/>
      <w:b/>
      <w:color w:val="000000"/>
      <w:sz w:val="28"/>
      <w:szCs w:val="28"/>
      <w:u w:val="none"/>
    </w:rPr>
  </w:style>
  <w:style w:type="character" w:customStyle="1" w:styleId="65">
    <w:name w:val="列出段落 Char"/>
    <w:link w:val="38"/>
    <w:qFormat/>
    <w:locked/>
    <w:uiPriority w:val="0"/>
    <w:rPr>
      <w:rFonts w:ascii="Calibri" w:hAnsi="Calibri" w:eastAsia="宋体" w:cs="Times New Roman"/>
      <w:kern w:val="2"/>
      <w:sz w:val="21"/>
    </w:rPr>
  </w:style>
  <w:style w:type="character" w:customStyle="1" w:styleId="66">
    <w:name w:val="font01"/>
    <w:basedOn w:val="27"/>
    <w:qFormat/>
    <w:uiPriority w:val="0"/>
    <w:rPr>
      <w:rFonts w:ascii="Arial" w:hAnsi="Arial" w:cs="Arial"/>
      <w:b/>
      <w:color w:val="000000"/>
      <w:sz w:val="28"/>
      <w:szCs w:val="28"/>
      <w:u w:val="none"/>
    </w:rPr>
  </w:style>
  <w:style w:type="character" w:customStyle="1" w:styleId="67">
    <w:name w:val="标题 3 Char"/>
    <w:link w:val="5"/>
    <w:qFormat/>
    <w:uiPriority w:val="0"/>
    <w:rPr>
      <w:rFonts w:ascii="Calibri" w:hAnsi="Calibri" w:eastAsia="宋体" w:cs="Times New Roman"/>
      <w:b/>
      <w:bCs/>
      <w:kern w:val="2"/>
      <w:sz w:val="32"/>
      <w:szCs w:val="32"/>
    </w:rPr>
  </w:style>
  <w:style w:type="character" w:customStyle="1" w:styleId="68">
    <w:name w:val="页眉 Char"/>
    <w:link w:val="20"/>
    <w:qFormat/>
    <w:uiPriority w:val="99"/>
    <w:rPr>
      <w:rFonts w:eastAsia="宋体"/>
      <w:kern w:val="2"/>
      <w:sz w:val="18"/>
      <w:szCs w:val="18"/>
    </w:rPr>
  </w:style>
  <w:style w:type="character" w:customStyle="1" w:styleId="69">
    <w:name w:val="正文文本缩进 Char"/>
    <w:semiHidden/>
    <w:qFormat/>
    <w:uiPriority w:val="99"/>
    <w:rPr>
      <w:rFonts w:ascii="Calibri" w:hAnsi="Calibri" w:eastAsia="宋体" w:cs="Times New Roman"/>
      <w:kern w:val="2"/>
      <w:sz w:val="21"/>
    </w:rPr>
  </w:style>
  <w:style w:type="character" w:customStyle="1" w:styleId="70">
    <w:name w:val="纯文本 Char1"/>
    <w:link w:val="17"/>
    <w:qFormat/>
    <w:uiPriority w:val="0"/>
    <w:rPr>
      <w:rFonts w:ascii="宋体" w:hAnsi="Courier New" w:eastAsia="宋体" w:cs="Courier New"/>
      <w:kern w:val="2"/>
      <w:sz w:val="21"/>
      <w:szCs w:val="21"/>
    </w:rPr>
  </w:style>
  <w:style w:type="character" w:customStyle="1" w:styleId="71">
    <w:name w:val="页脚 Char1"/>
    <w:link w:val="19"/>
    <w:qFormat/>
    <w:uiPriority w:val="99"/>
    <w:rPr>
      <w:rFonts w:eastAsia="宋体"/>
      <w:kern w:val="2"/>
      <w:sz w:val="18"/>
      <w:szCs w:val="18"/>
    </w:rPr>
  </w:style>
  <w:style w:type="character" w:customStyle="1" w:styleId="72">
    <w:name w:val="font11"/>
    <w:basedOn w:val="27"/>
    <w:qFormat/>
    <w:uiPriority w:val="0"/>
    <w:rPr>
      <w:rFonts w:hint="eastAsia" w:ascii="宋体" w:hAnsi="宋体" w:eastAsia="宋体" w:cs="宋体"/>
      <w:color w:val="000000"/>
      <w:sz w:val="18"/>
      <w:szCs w:val="18"/>
      <w:u w:val="none"/>
    </w:rPr>
  </w:style>
  <w:style w:type="character" w:customStyle="1" w:styleId="73">
    <w:name w:val="font41"/>
    <w:basedOn w:val="27"/>
    <w:qFormat/>
    <w:uiPriority w:val="0"/>
    <w:rPr>
      <w:rFonts w:hint="default" w:ascii="Times New Roman" w:hAnsi="Times New Roman" w:cs="Times New Roman"/>
      <w:color w:val="000000"/>
      <w:sz w:val="18"/>
      <w:szCs w:val="18"/>
      <w:u w:val="none"/>
    </w:rPr>
  </w:style>
  <w:style w:type="character" w:customStyle="1" w:styleId="74">
    <w:name w:val="页脚 Char"/>
    <w:qFormat/>
    <w:uiPriority w:val="99"/>
    <w:rPr>
      <w:lang w:eastAsia="zh-CN"/>
    </w:rPr>
  </w:style>
  <w:style w:type="character" w:customStyle="1" w:styleId="75">
    <w:name w:val="正文文本 Char"/>
    <w:link w:val="13"/>
    <w:qFormat/>
    <w:uiPriority w:val="0"/>
    <w:rPr>
      <w:kern w:val="2"/>
      <w:sz w:val="21"/>
      <w:szCs w:val="24"/>
    </w:rPr>
  </w:style>
  <w:style w:type="character" w:customStyle="1" w:styleId="76">
    <w:name w:val="正文文本 Char1"/>
    <w:semiHidden/>
    <w:qFormat/>
    <w:uiPriority w:val="99"/>
    <w:rPr>
      <w:rFonts w:ascii="Calibri" w:hAnsi="Calibri" w:eastAsia="宋体" w:cs="Times New Roman"/>
      <w:kern w:val="2"/>
      <w:sz w:val="21"/>
    </w:rPr>
  </w:style>
  <w:style w:type="character" w:customStyle="1" w:styleId="77">
    <w:name w:val="批注框文本 Char"/>
    <w:link w:val="18"/>
    <w:semiHidden/>
    <w:qFormat/>
    <w:uiPriority w:val="99"/>
    <w:rPr>
      <w:rFonts w:eastAsia="宋体"/>
      <w:kern w:val="2"/>
      <w:sz w:val="18"/>
      <w:szCs w:val="18"/>
    </w:rPr>
  </w:style>
  <w:style w:type="paragraph" w:customStyle="1" w:styleId="78">
    <w:name w:val="列出段落11"/>
    <w:basedOn w:val="1"/>
    <w:qFormat/>
    <w:uiPriority w:val="0"/>
    <w:pPr>
      <w:ind w:firstLine="420" w:firstLineChars="200"/>
    </w:pPr>
  </w:style>
  <w:style w:type="paragraph" w:customStyle="1" w:styleId="79">
    <w:name w:val="列表段落1"/>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7110</Words>
  <Characters>7820</Characters>
  <Lines>604</Lines>
  <Paragraphs>170</Paragraphs>
  <TotalTime>7</TotalTime>
  <ScaleCrop>false</ScaleCrop>
  <LinksUpToDate>false</LinksUpToDate>
  <CharactersWithSpaces>8160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2021-04-08T08:59:00Z</cp:lastPrinted>
  <dcterms:modified xsi:type="dcterms:W3CDTF">2022-10-24T08:06:00Z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KSOSaveFontToCloudKey">
    <vt:lpwstr>23878488_btnclosed</vt:lpwstr>
  </property>
  <property fmtid="{D5CDD505-2E9C-101B-9397-08002B2CF9AE}" pid="4" name="ICV">
    <vt:lpwstr>3924592ECBEA4607B16205E89A0F1F2B</vt:lpwstr>
  </property>
</Properties>
</file>