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pStyle w:val="2"/>
        <w:ind w:firstLine="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28"/>
          <w:szCs w:val="28"/>
          <w:highlight w:val="none"/>
          <w:lang w:val="en-US" w:eastAsia="zh-CN"/>
        </w:rPr>
        <w:t>工程段划分、工期规模、工期统计表</w:t>
      </w:r>
    </w:p>
    <w:p>
      <w:pPr>
        <w:pStyle w:val="2"/>
        <w:spacing w:line="360" w:lineRule="auto"/>
        <w:ind w:left="0" w:leftChars="0" w:firstLine="0" w:firstLineChars="0"/>
        <w:jc w:val="center"/>
        <w:rPr>
          <w:rFonts w:hint="eastAsia"/>
          <w:color w:val="auto"/>
          <w:highlight w:val="none"/>
          <w:lang w:val="en-US" w:eastAsia="zh-CN"/>
        </w:rPr>
      </w:pPr>
    </w:p>
    <w:tbl>
      <w:tblPr>
        <w:tblStyle w:val="16"/>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197"/>
        <w:gridCol w:w="1838"/>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197"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第1阶段</w:t>
            </w:r>
          </w:p>
        </w:tc>
        <w:tc>
          <w:tcPr>
            <w:tcW w:w="183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A、B、C、D四个收费站匝道加宽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1.1km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包括土方开挖、运输，砂砾石低填浅挖，级配碎石，水稳层，油面施工，边沟拆除与新建，土路肩浇筑等路基及路面工程的劳务施工。</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2</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正式进场后</w:t>
            </w:r>
          </w:p>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2个月完工</w:t>
            </w: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rPr>
          <w:rFonts w:hint="eastAsia" w:ascii="宋体" w:hAnsi="宋体" w:eastAsia="宋体" w:cs="宋体"/>
        </w:rPr>
      </w:pPr>
    </w:p>
    <w:p>
      <w:pPr>
        <w:pStyle w:val="2"/>
        <w:spacing w:line="360" w:lineRule="auto"/>
        <w:ind w:left="0" w:leftChars="0" w:firstLine="0" w:firstLineChars="0"/>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pStyle w:val="2"/>
        <w:ind w:firstLine="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w:t>
      </w:r>
      <w:r>
        <w:rPr>
          <w:rFonts w:hint="eastAsia" w:ascii="宋体" w:hAnsi="宋体" w:eastAsia="宋体" w:cs="宋体"/>
          <w:b/>
          <w:bCs/>
          <w:color w:val="auto"/>
          <w:sz w:val="28"/>
          <w:szCs w:val="28"/>
          <w:highlight w:val="none"/>
          <w:lang w:eastAsia="zh-CN"/>
        </w:rPr>
        <w:t>、业绩基本</w:t>
      </w:r>
      <w:r>
        <w:rPr>
          <w:rFonts w:hint="eastAsia" w:ascii="宋体" w:hAnsi="宋体" w:eastAsia="宋体" w:cs="宋体"/>
          <w:b/>
          <w:bCs/>
          <w:color w:val="auto"/>
          <w:sz w:val="28"/>
          <w:szCs w:val="28"/>
          <w:highlight w:val="none"/>
        </w:rPr>
        <w:t>要求</w:t>
      </w:r>
    </w:p>
    <w:p>
      <w:pPr>
        <w:rPr>
          <w:rFonts w:hint="eastAsia" w:ascii="宋体" w:hAnsi="宋体" w:eastAsia="宋体" w:cs="宋体"/>
        </w:rPr>
      </w:pPr>
    </w:p>
    <w:tbl>
      <w:tblPr>
        <w:tblStyle w:val="16"/>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2022-CXYH-05</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20"/>
                <w:szCs w:val="20"/>
                <w:highlight w:val="none"/>
                <w:lang w:val="en-US" w:eastAsia="zh-CN" w:bidi="ar"/>
              </w:rPr>
              <w:t>成都绕城高速高速北新立交</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sz w:val="21"/>
                <w:szCs w:val="21"/>
                <w:highlight w:val="none"/>
              </w:rPr>
              <w:t>5年内</w:t>
            </w: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0"/>
                <w:szCs w:val="20"/>
                <w:highlight w:val="none"/>
                <w:lang w:val="en-US" w:eastAsia="zh-CN" w:bidi="ar"/>
              </w:rPr>
              <w:t>2017年</w:t>
            </w:r>
            <w:r>
              <w:rPr>
                <w:rFonts w:hint="eastAsia" w:ascii="宋体" w:hAnsi="宋体" w:cs="宋体"/>
                <w:color w:val="auto"/>
                <w:kern w:val="0"/>
                <w:sz w:val="20"/>
                <w:szCs w:val="20"/>
                <w:highlight w:val="none"/>
                <w:lang w:val="en-US" w:eastAsia="zh-CN" w:bidi="ar"/>
              </w:rPr>
              <w:t>9</w:t>
            </w:r>
            <w:r>
              <w:rPr>
                <w:rFonts w:hint="eastAsia" w:ascii="宋体" w:hAnsi="宋体" w:eastAsia="宋体" w:cs="宋体"/>
                <w:color w:val="auto"/>
                <w:kern w:val="0"/>
                <w:sz w:val="20"/>
                <w:szCs w:val="20"/>
                <w:highlight w:val="none"/>
                <w:lang w:val="en-US" w:eastAsia="zh-CN" w:bidi="ar"/>
              </w:rPr>
              <w:t>月1日至今，以</w:t>
            </w:r>
            <w:r>
              <w:rPr>
                <w:rFonts w:hint="eastAsia" w:ascii="宋体" w:hAnsi="宋体" w:cs="宋体"/>
                <w:color w:val="auto"/>
                <w:kern w:val="0"/>
                <w:sz w:val="20"/>
                <w:szCs w:val="20"/>
                <w:highlight w:val="none"/>
                <w:lang w:val="en-US" w:eastAsia="zh-CN" w:bidi="ar"/>
              </w:rPr>
              <w:t>合同签订时间</w:t>
            </w:r>
            <w:r>
              <w:rPr>
                <w:rFonts w:hint="eastAsia" w:ascii="宋体" w:hAnsi="宋体" w:eastAsia="宋体" w:cs="宋体"/>
                <w:color w:val="auto"/>
                <w:kern w:val="0"/>
                <w:sz w:val="20"/>
                <w:szCs w:val="20"/>
                <w:highlight w:val="none"/>
                <w:lang w:val="en-US" w:eastAsia="zh-CN" w:bidi="ar"/>
              </w:rPr>
              <w:t>为准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具有相同或类似的高速公路</w:t>
            </w:r>
            <w:r>
              <w:rPr>
                <w:rFonts w:hint="eastAsia" w:ascii="宋体" w:hAnsi="宋体" w:cs="宋体"/>
                <w:sz w:val="21"/>
                <w:szCs w:val="21"/>
                <w:highlight w:val="none"/>
                <w:lang w:val="en-US" w:eastAsia="zh-CN"/>
              </w:rPr>
              <w:t>路基或</w:t>
            </w:r>
            <w:r>
              <w:rPr>
                <w:rFonts w:hint="eastAsia" w:ascii="宋体" w:hAnsi="宋体" w:eastAsia="宋体" w:cs="宋体"/>
                <w:sz w:val="21"/>
                <w:szCs w:val="21"/>
                <w:highlight w:val="none"/>
              </w:rPr>
              <w:t>高速公路</w:t>
            </w:r>
            <w:r>
              <w:rPr>
                <w:rFonts w:hint="eastAsia" w:ascii="宋体" w:hAnsi="宋体" w:cs="宋体"/>
                <w:sz w:val="21"/>
                <w:szCs w:val="21"/>
                <w:highlight w:val="none"/>
                <w:lang w:val="en-US" w:eastAsia="zh-CN"/>
              </w:rPr>
              <w:t>路面工程</w:t>
            </w:r>
            <w:r>
              <w:rPr>
                <w:rFonts w:hint="eastAsia" w:ascii="宋体" w:hAnsi="宋体" w:eastAsia="宋体" w:cs="宋体"/>
                <w:color w:val="auto"/>
                <w:kern w:val="0"/>
                <w:sz w:val="20"/>
                <w:szCs w:val="20"/>
                <w:highlight w:val="none"/>
                <w:lang w:val="en-US" w:eastAsia="zh-CN" w:bidi="ar"/>
              </w:rPr>
              <w:t>（可由1个业绩同时满足或者多个业绩分别满足）</w:t>
            </w:r>
            <w:r>
              <w:rPr>
                <w:rFonts w:hint="eastAsia" w:ascii="宋体" w:hAnsi="宋体" w:cs="宋体"/>
                <w:sz w:val="21"/>
                <w:szCs w:val="21"/>
                <w:highlight w:val="none"/>
                <w:lang w:val="en-US" w:eastAsia="zh-CN"/>
              </w:rPr>
              <w:t>施工业绩</w:t>
            </w:r>
            <w:r>
              <w:rPr>
                <w:rFonts w:hint="eastAsia" w:ascii="宋体" w:hAnsi="宋体" w:eastAsia="宋体" w:cs="宋体"/>
                <w:sz w:val="21"/>
                <w:szCs w:val="21"/>
                <w:highlight w:val="none"/>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jc w:val="left"/>
        <w:rPr>
          <w:rStyle w:val="24"/>
          <w:rFonts w:hint="eastAsia"/>
          <w:b/>
          <w:bCs/>
          <w:color w:val="auto"/>
          <w:sz w:val="22"/>
          <w:szCs w:val="22"/>
          <w:highlight w:val="none"/>
          <w:u w:val="none"/>
          <w:lang w:val="en-US" w:eastAsia="zh-CN" w:bidi="ar"/>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jc w:val="left"/>
        <w:rPr>
          <w:rStyle w:val="24"/>
          <w:rFonts w:hint="default"/>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t>附表三</w:t>
      </w:r>
    </w:p>
    <w:p>
      <w:pPr>
        <w:pStyle w:val="2"/>
        <w:rPr>
          <w:rFonts w:hint="eastAsia"/>
          <w:lang w:val="en-US" w:eastAsia="zh-CN"/>
        </w:rPr>
      </w:pPr>
    </w:p>
    <w:tbl>
      <w:tblPr>
        <w:tblStyle w:val="16"/>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sectPr>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rPr>
          <w:rFonts w:hint="eastAsia" w:ascii="宋体" w:hAnsi="宋体" w:eastAsia="宋体" w:cs="宋体"/>
        </w:rPr>
      </w:pPr>
      <w:r>
        <w:rPr>
          <w:rFonts w:hint="eastAsia" w:ascii="宋体" w:hAnsi="宋体" w:eastAsia="宋体" w:cs="宋体"/>
          <w:b/>
          <w:sz w:val="28"/>
          <w:szCs w:val="28"/>
        </w:rPr>
        <w:t>附表四</w:t>
      </w:r>
    </w:p>
    <w:tbl>
      <w:tblPr>
        <w:tblStyle w:val="16"/>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w w:val="100"/>
                <w:kern w:val="0"/>
                <w:sz w:val="28"/>
                <w:szCs w:val="28"/>
                <w:highlight w:val="none"/>
                <w:u w:val="none"/>
                <w:lang w:val="en-US" w:eastAsia="zh-CN" w:bidi="ar-SA"/>
              </w:rPr>
              <w:t>成都绕城高速北新收费站改扩建工程劳务合作项目</w:t>
            </w:r>
          </w:p>
          <w:p>
            <w:pPr>
              <w:keepNext w:val="0"/>
              <w:keepLines w:val="0"/>
              <w:widowControl/>
              <w:suppressLineNumbers w:val="0"/>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16"/>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738"/>
              <w:gridCol w:w="806"/>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38"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6"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jc w:val="center"/>
              </w:trPr>
              <w:tc>
                <w:tcPr>
                  <w:tcW w:w="674"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173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06"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798" w:type="dxa"/>
                  <w:vMerge w:val="continue"/>
                  <w:tcBorders>
                    <w:tl2br w:val="nil"/>
                    <w:tr2bl w:val="nil"/>
                  </w:tcBorders>
                  <w:vAlign w:val="center"/>
                </w:tcPr>
                <w:p>
                  <w:pPr>
                    <w:spacing w:line="440" w:lineRule="exact"/>
                    <w:jc w:val="center"/>
                    <w:rPr>
                      <w:rFonts w:eastAsia="宋体"/>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738" w:type="dxa"/>
                  <w:tcBorders>
                    <w:tl2br w:val="nil"/>
                    <w:tr2bl w:val="nil"/>
                  </w:tcBorders>
                  <w:vAlign w:val="center"/>
                </w:tcPr>
                <w:p>
                  <w:pPr>
                    <w:widowControl/>
                    <w:spacing w:line="240" w:lineRule="auto"/>
                    <w:ind w:firstLine="420" w:firstLineChars="200"/>
                    <w:jc w:val="both"/>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挖掘机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360</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0.5</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9</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装载机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50</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73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摊铺机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9m</w:t>
                  </w:r>
                </w:p>
              </w:tc>
              <w:tc>
                <w:tcPr>
                  <w:tcW w:w="7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胶轮压路机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26t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5"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钢轮压路机</w:t>
                  </w:r>
                </w:p>
              </w:tc>
              <w:tc>
                <w:tcPr>
                  <w:tcW w:w="806"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18t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3</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铣刨机</w:t>
                  </w: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7</w:t>
                  </w:r>
                </w:p>
              </w:tc>
              <w:tc>
                <w:tcPr>
                  <w:tcW w:w="173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同步碎石封层车</w:t>
                  </w:r>
                </w:p>
              </w:tc>
              <w:tc>
                <w:tcPr>
                  <w:tcW w:w="806"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w:t>
                  </w:r>
                </w:p>
              </w:tc>
              <w:tc>
                <w:tcPr>
                  <w:tcW w:w="798" w:type="dxa"/>
                  <w:tcBorders>
                    <w:tl2br w:val="nil"/>
                    <w:tr2bl w:val="nil"/>
                  </w:tcBorders>
                  <w:vAlign w:val="center"/>
                </w:tcPr>
                <w:p>
                  <w:pPr>
                    <w:widowControl/>
                    <w:spacing w:line="240" w:lineRule="auto"/>
                    <w:ind w:firstLine="0" w:firstLineChars="0"/>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台</w:t>
                  </w:r>
                </w:p>
              </w:tc>
              <w:tc>
                <w:tcPr>
                  <w:tcW w:w="898" w:type="dxa"/>
                  <w:tcBorders>
                    <w:tl2br w:val="nil"/>
                    <w:tr2bl w:val="nil"/>
                  </w:tcBorders>
                  <w:vAlign w:val="center"/>
                </w:tcPr>
                <w:p>
                  <w:pPr>
                    <w:widowControl/>
                    <w:spacing w:line="240" w:lineRule="auto"/>
                    <w:ind w:firstLine="0" w:firstLineChars="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yellow"/>
                      <w:lang w:val="en-US" w:eastAsia="zh-CN" w:bidi="ar-SA"/>
                    </w:rPr>
                  </w:pP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rPr>
          <w:rStyle w:val="24"/>
          <w:rFonts w:hint="eastAsia"/>
          <w:b w:val="0"/>
          <w:bCs/>
          <w:color w:val="auto"/>
          <w:sz w:val="16"/>
          <w:szCs w:val="16"/>
          <w:highlight w:val="none"/>
          <w:u w:val="none"/>
          <w:lang w:val="en-US" w:eastAsia="zh-CN" w:bidi="ar"/>
        </w:rP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7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ErHQcCAAAHBAAADgAAAGRycy9lMm9Eb2MueG1srVNLbtswEN0X6B0I&#10;7mvJXtSGYDlIY7gokH6AtAegKcoiKnKIIW3JPUB7g6666b7n8jkypCwnTTdZdEMMh8M37z0Ol1e9&#10;adlBoddgSz6d5JwpK6HSdlfyL583rxac+SBsJVqwquRH5fnV6uWLZecKNYMG2kohIxDri86VvAnB&#10;FVnmZaOM8BNwytJhDWhEoC3usgpFR+imzWZ5/jrrACuHIJX3lF0Ph/yMiM8BhLrWUq1B7o2yYUBF&#10;1YpAknyjneerxLaulQwf69qrwNqSk9KQVmpC8Tau2Wopih0K12h5piCeQ+GJJiO0paYXqLUIgu1R&#10;/wNltETwUIeJBJMNQpIjpGKaP/HmrhFOJS1ktXcX0/3/g5UfDp+Q6arkc86sMPTgp58/Tr/+nH5/&#10;Z7N8Po8Odc4XVHjnqDT0b6CnuUlqvbsF+dUzCzeNsDt1jQhdo0RFDKfxZvbo6oDjI8i2ew8VtRL7&#10;AAmor9FE+8gQRuj0OsfL66g+MBlbLmaLRU5Hks7GTewhivG6Qx/eKjAsBiVHev4ELw63PgylY0ns&#10;ZmGj25byomjtXwnCjJlEPzIeuId+21N11LSF6khCEIaJov9EQQP4jbOOpqnklj4PZ+07S1bEwRsD&#10;HIPtGAgr6WLJA2dDeBOGAd071LuGcEezr8mujU5CHjicWdJ8JCvOsxwH8PE+VT3839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E3xKx0HAgAABwQAAA4AAAAAAAAAAQAgAAAAHgEAAGRycy9l&#10;Mm9Eb2MueG1sUEsFBgAAAAAGAAYAWQEAAJcFA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ZmE5MDJlY2MxN2ZmZDU3YTk0NzZkYzRlYjFhZmEifQ=="/>
  </w:docVars>
  <w:rsids>
    <w:rsidRoot w:val="6D0B3219"/>
    <w:rsid w:val="00343D48"/>
    <w:rsid w:val="009B12C4"/>
    <w:rsid w:val="0126527B"/>
    <w:rsid w:val="01F62437"/>
    <w:rsid w:val="029F0BDF"/>
    <w:rsid w:val="02D844E6"/>
    <w:rsid w:val="02F36BB9"/>
    <w:rsid w:val="03724511"/>
    <w:rsid w:val="038C3F12"/>
    <w:rsid w:val="039A66B9"/>
    <w:rsid w:val="03F4527E"/>
    <w:rsid w:val="044153DC"/>
    <w:rsid w:val="050B0EC8"/>
    <w:rsid w:val="05BC6E66"/>
    <w:rsid w:val="06972D26"/>
    <w:rsid w:val="06BB15D9"/>
    <w:rsid w:val="07287B9D"/>
    <w:rsid w:val="07F660B0"/>
    <w:rsid w:val="08324929"/>
    <w:rsid w:val="08891F7D"/>
    <w:rsid w:val="08E30999"/>
    <w:rsid w:val="0913688A"/>
    <w:rsid w:val="09455B44"/>
    <w:rsid w:val="09777D06"/>
    <w:rsid w:val="09AD4AA6"/>
    <w:rsid w:val="09C100FA"/>
    <w:rsid w:val="0A5033EA"/>
    <w:rsid w:val="0A5A4B79"/>
    <w:rsid w:val="0A601AF4"/>
    <w:rsid w:val="0B0F28A9"/>
    <w:rsid w:val="0B5455A6"/>
    <w:rsid w:val="0B753032"/>
    <w:rsid w:val="0B891FE2"/>
    <w:rsid w:val="0B991271"/>
    <w:rsid w:val="0BA924DA"/>
    <w:rsid w:val="0BD27243"/>
    <w:rsid w:val="0C435020"/>
    <w:rsid w:val="0C4E22E9"/>
    <w:rsid w:val="0CCF7D76"/>
    <w:rsid w:val="0E2F2B48"/>
    <w:rsid w:val="0E7D493C"/>
    <w:rsid w:val="0F397997"/>
    <w:rsid w:val="0F581439"/>
    <w:rsid w:val="0F6860EC"/>
    <w:rsid w:val="0F9F7060"/>
    <w:rsid w:val="0FCE6B99"/>
    <w:rsid w:val="100474B1"/>
    <w:rsid w:val="10144394"/>
    <w:rsid w:val="104E4D2B"/>
    <w:rsid w:val="109E5293"/>
    <w:rsid w:val="10FE58C3"/>
    <w:rsid w:val="11D90063"/>
    <w:rsid w:val="12F60699"/>
    <w:rsid w:val="131D53E9"/>
    <w:rsid w:val="133B4A47"/>
    <w:rsid w:val="154616DE"/>
    <w:rsid w:val="15891CCA"/>
    <w:rsid w:val="15A33A75"/>
    <w:rsid w:val="15A80B94"/>
    <w:rsid w:val="15CF4B09"/>
    <w:rsid w:val="15D45FBF"/>
    <w:rsid w:val="15D80008"/>
    <w:rsid w:val="16370C2C"/>
    <w:rsid w:val="18C95BFE"/>
    <w:rsid w:val="19501FCD"/>
    <w:rsid w:val="195A0C14"/>
    <w:rsid w:val="19BC7BD0"/>
    <w:rsid w:val="1A5C76BA"/>
    <w:rsid w:val="1ADC068B"/>
    <w:rsid w:val="1B7342A9"/>
    <w:rsid w:val="1BA112B9"/>
    <w:rsid w:val="1C1239E1"/>
    <w:rsid w:val="1CCB016B"/>
    <w:rsid w:val="1CCB3389"/>
    <w:rsid w:val="1D8340F7"/>
    <w:rsid w:val="1DF37DFA"/>
    <w:rsid w:val="1E9B719D"/>
    <w:rsid w:val="1F291F3C"/>
    <w:rsid w:val="1F3A4319"/>
    <w:rsid w:val="1F6B4BFB"/>
    <w:rsid w:val="1F9306F4"/>
    <w:rsid w:val="20602D80"/>
    <w:rsid w:val="20A17C13"/>
    <w:rsid w:val="20C53399"/>
    <w:rsid w:val="218A3837"/>
    <w:rsid w:val="21BE14DE"/>
    <w:rsid w:val="21C97396"/>
    <w:rsid w:val="2205092A"/>
    <w:rsid w:val="223D66AF"/>
    <w:rsid w:val="22900340"/>
    <w:rsid w:val="233E660C"/>
    <w:rsid w:val="236E2906"/>
    <w:rsid w:val="236F25C3"/>
    <w:rsid w:val="23A167F7"/>
    <w:rsid w:val="23AA10B0"/>
    <w:rsid w:val="241D5966"/>
    <w:rsid w:val="24BB1332"/>
    <w:rsid w:val="24F94B95"/>
    <w:rsid w:val="25073037"/>
    <w:rsid w:val="255E736D"/>
    <w:rsid w:val="25FF4FDC"/>
    <w:rsid w:val="26105A24"/>
    <w:rsid w:val="26CC3F25"/>
    <w:rsid w:val="27BB1682"/>
    <w:rsid w:val="27C8356C"/>
    <w:rsid w:val="28866BB1"/>
    <w:rsid w:val="289F5324"/>
    <w:rsid w:val="291551B7"/>
    <w:rsid w:val="29B1136A"/>
    <w:rsid w:val="29E01EB2"/>
    <w:rsid w:val="2A195ECB"/>
    <w:rsid w:val="2B8C545E"/>
    <w:rsid w:val="2BA90CA6"/>
    <w:rsid w:val="2BC2788C"/>
    <w:rsid w:val="2C252793"/>
    <w:rsid w:val="2C3201A6"/>
    <w:rsid w:val="2C811B32"/>
    <w:rsid w:val="2C824972"/>
    <w:rsid w:val="2CE01537"/>
    <w:rsid w:val="2D947467"/>
    <w:rsid w:val="2E240EFF"/>
    <w:rsid w:val="2E331B97"/>
    <w:rsid w:val="2E650D19"/>
    <w:rsid w:val="2E740628"/>
    <w:rsid w:val="2E837660"/>
    <w:rsid w:val="2E9D083E"/>
    <w:rsid w:val="2EAA77DA"/>
    <w:rsid w:val="2EB26D35"/>
    <w:rsid w:val="2EBC3BCD"/>
    <w:rsid w:val="2EDA06D1"/>
    <w:rsid w:val="2EE66DA1"/>
    <w:rsid w:val="2FC51447"/>
    <w:rsid w:val="30075453"/>
    <w:rsid w:val="30976160"/>
    <w:rsid w:val="30CE2A07"/>
    <w:rsid w:val="31244B45"/>
    <w:rsid w:val="31B6771F"/>
    <w:rsid w:val="31F27638"/>
    <w:rsid w:val="325C03ED"/>
    <w:rsid w:val="32741064"/>
    <w:rsid w:val="329C3E5B"/>
    <w:rsid w:val="32DB03AE"/>
    <w:rsid w:val="33545079"/>
    <w:rsid w:val="339A2073"/>
    <w:rsid w:val="342A5F28"/>
    <w:rsid w:val="34311BB5"/>
    <w:rsid w:val="34436B87"/>
    <w:rsid w:val="34601622"/>
    <w:rsid w:val="34607A3F"/>
    <w:rsid w:val="348B44F6"/>
    <w:rsid w:val="35553321"/>
    <w:rsid w:val="35921A02"/>
    <w:rsid w:val="35A63EE7"/>
    <w:rsid w:val="3633041E"/>
    <w:rsid w:val="36452C44"/>
    <w:rsid w:val="364E1579"/>
    <w:rsid w:val="379522F8"/>
    <w:rsid w:val="37D5352F"/>
    <w:rsid w:val="38105C68"/>
    <w:rsid w:val="385E7250"/>
    <w:rsid w:val="38E25BE4"/>
    <w:rsid w:val="393D02C4"/>
    <w:rsid w:val="395C1C4A"/>
    <w:rsid w:val="39CA3DF4"/>
    <w:rsid w:val="39D069FB"/>
    <w:rsid w:val="3A0D70C7"/>
    <w:rsid w:val="3A180D3E"/>
    <w:rsid w:val="3A8E7911"/>
    <w:rsid w:val="3B7F1D6B"/>
    <w:rsid w:val="3BF45A48"/>
    <w:rsid w:val="3C4E25B5"/>
    <w:rsid w:val="3C5C5D88"/>
    <w:rsid w:val="3CA06F6B"/>
    <w:rsid w:val="3CA44F4B"/>
    <w:rsid w:val="3D8C1C82"/>
    <w:rsid w:val="3DD05FB6"/>
    <w:rsid w:val="3E1C2E52"/>
    <w:rsid w:val="3E320AB0"/>
    <w:rsid w:val="3E36438D"/>
    <w:rsid w:val="3E5D5FDF"/>
    <w:rsid w:val="3E972502"/>
    <w:rsid w:val="3F026478"/>
    <w:rsid w:val="3F7E5ACC"/>
    <w:rsid w:val="401B4839"/>
    <w:rsid w:val="405D5CCE"/>
    <w:rsid w:val="40834CCE"/>
    <w:rsid w:val="40D15D4B"/>
    <w:rsid w:val="415D7AEB"/>
    <w:rsid w:val="416309A2"/>
    <w:rsid w:val="41792E05"/>
    <w:rsid w:val="4205452B"/>
    <w:rsid w:val="422873DB"/>
    <w:rsid w:val="4304594A"/>
    <w:rsid w:val="43803E5D"/>
    <w:rsid w:val="43C05F1E"/>
    <w:rsid w:val="43F66731"/>
    <w:rsid w:val="43FE1B06"/>
    <w:rsid w:val="44C71CED"/>
    <w:rsid w:val="459C0B02"/>
    <w:rsid w:val="45E511AF"/>
    <w:rsid w:val="46113505"/>
    <w:rsid w:val="465D008B"/>
    <w:rsid w:val="46C81B47"/>
    <w:rsid w:val="46E91AAF"/>
    <w:rsid w:val="46F456A7"/>
    <w:rsid w:val="46FF3BA9"/>
    <w:rsid w:val="47433D54"/>
    <w:rsid w:val="47CA7CD2"/>
    <w:rsid w:val="47FB114A"/>
    <w:rsid w:val="49E51AEA"/>
    <w:rsid w:val="49F95EBE"/>
    <w:rsid w:val="4A462E88"/>
    <w:rsid w:val="4A844544"/>
    <w:rsid w:val="4ADE3AC3"/>
    <w:rsid w:val="4B2F1711"/>
    <w:rsid w:val="4B7B703E"/>
    <w:rsid w:val="4BAD7629"/>
    <w:rsid w:val="4C3D794C"/>
    <w:rsid w:val="4CB15087"/>
    <w:rsid w:val="4D285129"/>
    <w:rsid w:val="4D366E35"/>
    <w:rsid w:val="4DB12F74"/>
    <w:rsid w:val="4E133190"/>
    <w:rsid w:val="4E5B27FF"/>
    <w:rsid w:val="4EB630AF"/>
    <w:rsid w:val="4ECA7F19"/>
    <w:rsid w:val="4F325986"/>
    <w:rsid w:val="4F40027A"/>
    <w:rsid w:val="4FDA01BE"/>
    <w:rsid w:val="50E45A49"/>
    <w:rsid w:val="50FA206F"/>
    <w:rsid w:val="516D409C"/>
    <w:rsid w:val="5175120E"/>
    <w:rsid w:val="51916A7A"/>
    <w:rsid w:val="51F72BF9"/>
    <w:rsid w:val="521E0D27"/>
    <w:rsid w:val="52637D61"/>
    <w:rsid w:val="52E31AA5"/>
    <w:rsid w:val="53DF10F7"/>
    <w:rsid w:val="53EF5874"/>
    <w:rsid w:val="54427B77"/>
    <w:rsid w:val="54A7540F"/>
    <w:rsid w:val="54D47567"/>
    <w:rsid w:val="557E7D89"/>
    <w:rsid w:val="557F74C3"/>
    <w:rsid w:val="55A337CB"/>
    <w:rsid w:val="55F821DF"/>
    <w:rsid w:val="56836E19"/>
    <w:rsid w:val="56D436DF"/>
    <w:rsid w:val="56E2375B"/>
    <w:rsid w:val="57365758"/>
    <w:rsid w:val="573A64ED"/>
    <w:rsid w:val="577567E2"/>
    <w:rsid w:val="57B11C8D"/>
    <w:rsid w:val="58F93E01"/>
    <w:rsid w:val="59001E93"/>
    <w:rsid w:val="590D63E7"/>
    <w:rsid w:val="590E7B50"/>
    <w:rsid w:val="590F09AC"/>
    <w:rsid w:val="5A131428"/>
    <w:rsid w:val="5A971F2E"/>
    <w:rsid w:val="5AAA35BF"/>
    <w:rsid w:val="5ABE45A5"/>
    <w:rsid w:val="5AF47196"/>
    <w:rsid w:val="5B00793D"/>
    <w:rsid w:val="5B83040B"/>
    <w:rsid w:val="5BB800C6"/>
    <w:rsid w:val="5C4D671A"/>
    <w:rsid w:val="5C577DF2"/>
    <w:rsid w:val="5CAC5023"/>
    <w:rsid w:val="5CD07BF9"/>
    <w:rsid w:val="5D086F45"/>
    <w:rsid w:val="5D2C7E85"/>
    <w:rsid w:val="5DD5795B"/>
    <w:rsid w:val="5DED4ECE"/>
    <w:rsid w:val="5E0B4087"/>
    <w:rsid w:val="5E8D0E00"/>
    <w:rsid w:val="5FBF192C"/>
    <w:rsid w:val="5FD230CB"/>
    <w:rsid w:val="60901A89"/>
    <w:rsid w:val="609D42E0"/>
    <w:rsid w:val="60C85161"/>
    <w:rsid w:val="61D230CA"/>
    <w:rsid w:val="61DD1F8D"/>
    <w:rsid w:val="62072C84"/>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FA5ECE"/>
    <w:rsid w:val="6C1877CE"/>
    <w:rsid w:val="6C4274F5"/>
    <w:rsid w:val="6C71494C"/>
    <w:rsid w:val="6CAF4FEF"/>
    <w:rsid w:val="6CF12BBF"/>
    <w:rsid w:val="6D0B3219"/>
    <w:rsid w:val="6D1160C5"/>
    <w:rsid w:val="6D62087C"/>
    <w:rsid w:val="6D6324FB"/>
    <w:rsid w:val="6DCC1519"/>
    <w:rsid w:val="6E5E60C9"/>
    <w:rsid w:val="6EFC1D3A"/>
    <w:rsid w:val="6F1F0010"/>
    <w:rsid w:val="6F4374A6"/>
    <w:rsid w:val="6F7E5E46"/>
    <w:rsid w:val="6FEE18C9"/>
    <w:rsid w:val="701A23EA"/>
    <w:rsid w:val="702A5C03"/>
    <w:rsid w:val="7156685C"/>
    <w:rsid w:val="71870602"/>
    <w:rsid w:val="71C179F2"/>
    <w:rsid w:val="71FE4C17"/>
    <w:rsid w:val="726B38D2"/>
    <w:rsid w:val="72705681"/>
    <w:rsid w:val="72E22B87"/>
    <w:rsid w:val="73012309"/>
    <w:rsid w:val="73A979B9"/>
    <w:rsid w:val="73B9714D"/>
    <w:rsid w:val="74291F81"/>
    <w:rsid w:val="743D65AD"/>
    <w:rsid w:val="748A24B9"/>
    <w:rsid w:val="748E6270"/>
    <w:rsid w:val="74AF78D9"/>
    <w:rsid w:val="75211D87"/>
    <w:rsid w:val="75443094"/>
    <w:rsid w:val="75FA05EA"/>
    <w:rsid w:val="76F9201E"/>
    <w:rsid w:val="77387271"/>
    <w:rsid w:val="778618BA"/>
    <w:rsid w:val="779F402F"/>
    <w:rsid w:val="77A64A70"/>
    <w:rsid w:val="781764D7"/>
    <w:rsid w:val="784D1BC2"/>
    <w:rsid w:val="7A5658A3"/>
    <w:rsid w:val="7AAA5770"/>
    <w:rsid w:val="7B66733E"/>
    <w:rsid w:val="7BD859F4"/>
    <w:rsid w:val="7C504B7D"/>
    <w:rsid w:val="7C933E96"/>
    <w:rsid w:val="7CF73115"/>
    <w:rsid w:val="7CF855C3"/>
    <w:rsid w:val="7D34255F"/>
    <w:rsid w:val="7D976E2D"/>
    <w:rsid w:val="7DC5348D"/>
    <w:rsid w:val="7DEF55DD"/>
    <w:rsid w:val="7E1D3D74"/>
    <w:rsid w:val="7E4A4344"/>
    <w:rsid w:val="7E4F213E"/>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Normal Indent"/>
    <w:basedOn w:val="1"/>
    <w:next w:val="1"/>
    <w:qFormat/>
    <w:uiPriority w:val="0"/>
    <w:pPr>
      <w:ind w:firstLine="420"/>
    </w:p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FollowedHyperlink"/>
    <w:basedOn w:val="18"/>
    <w:unhideWhenUsed/>
    <w:qFormat/>
    <w:uiPriority w:val="99"/>
    <w:rPr>
      <w:color w:val="800080"/>
      <w:u w:val="single"/>
    </w:rPr>
  </w:style>
  <w:style w:type="character" w:styleId="21">
    <w:name w:val="Hyperlink"/>
    <w:basedOn w:val="18"/>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8"/>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8"/>
    <w:qFormat/>
    <w:uiPriority w:val="0"/>
    <w:rPr>
      <w:rFonts w:hint="eastAsia" w:ascii="宋体" w:hAnsi="宋体" w:eastAsia="宋体" w:cs="宋体"/>
      <w:b/>
      <w:color w:val="000000"/>
      <w:sz w:val="32"/>
      <w:szCs w:val="32"/>
      <w:u w:val="none"/>
    </w:rPr>
  </w:style>
  <w:style w:type="paragraph" w:customStyle="1" w:styleId="31">
    <w:name w:val="Body Text First Indent 2"/>
    <w:basedOn w:val="32"/>
    <w:qFormat/>
    <w:uiPriority w:val="0"/>
    <w:pPr>
      <w:ind w:firstLine="420" w:firstLineChars="200"/>
    </w:pPr>
    <w:rPr>
      <w:kern w:val="2"/>
      <w:sz w:val="21"/>
      <w:szCs w:val="24"/>
    </w:rPr>
  </w:style>
  <w:style w:type="paragraph" w:customStyle="1" w:styleId="32">
    <w:name w:val="Body Text Indent"/>
    <w:basedOn w:val="1"/>
    <w:qFormat/>
    <w:uiPriority w:val="0"/>
    <w:pPr>
      <w:spacing w:after="120" w:afterLines="0"/>
      <w:ind w:left="420" w:leftChars="200"/>
    </w:pPr>
    <w:rPr>
      <w:kern w:val="2"/>
      <w:sz w:val="21"/>
      <w:szCs w:val="24"/>
    </w:rPr>
  </w:style>
  <w:style w:type="paragraph" w:customStyle="1" w:styleId="33">
    <w:name w:val="Plain Text"/>
    <w:basedOn w:val="1"/>
    <w:qFormat/>
    <w:uiPriority w:val="0"/>
    <w:rPr>
      <w:rFonts w:ascii="宋体" w:hAnsi="Courier New" w:eastAsia="宋体" w:cs="Courier New"/>
      <w:kern w:val="2"/>
      <w:sz w:val="21"/>
      <w:szCs w:val="21"/>
      <w:lang w:val="en-US" w:eastAsia="zh-CN"/>
    </w:rPr>
  </w:style>
  <w:style w:type="paragraph" w:customStyle="1" w:styleId="34">
    <w:name w:val="列表段落1"/>
    <w:basedOn w:val="1"/>
    <w:qFormat/>
    <w:uiPriority w:val="0"/>
    <w:pPr>
      <w:ind w:firstLine="420" w:firstLineChars="200"/>
    </w:pPr>
  </w:style>
  <w:style w:type="paragraph" w:customStyle="1" w:styleId="35">
    <w:name w:val="无间隔1"/>
    <w:basedOn w:val="1"/>
    <w:qFormat/>
    <w:uiPriority w:val="0"/>
    <w:pPr>
      <w:widowControl/>
    </w:pPr>
    <w:rPr>
      <w:rFonts w:ascii="Calibri" w:hAnsi="Calibri" w:eastAsia="宋体" w:cs="Times New Roman"/>
      <w:kern w:val="0"/>
      <w:lang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132;&#24314;\&#20219;&#21153;\&#25346;&#32593;\&#25104;&#37117;&#32469;&#22478;&#39640;&#36895;&#21271;&#26032;&#25910;&#36153;&#31449;&#25913;&#25193;&#24314;&#24037;&#31243;&#21171;&#21153;&#21512;&#20316;&#39033;&#30446;&#65288;&#25307;&#26631;&#25991;&#20214;&#652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成都绕城高速北新收费站改扩建工程劳务合作项目（招标文件）.docx</Template>
  <Pages>8</Pages>
  <Words>1168</Words>
  <Characters>1253</Characters>
  <Lines>0</Lines>
  <Paragraphs>0</Paragraphs>
  <TotalTime>7</TotalTime>
  <ScaleCrop>false</ScaleCrop>
  <LinksUpToDate>false</LinksUpToDate>
  <CharactersWithSpaces>1312</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2022-10-28T05:56:00Z</dcterms:created>
  <dc:creator>要像你</dc:creator>
  <cp:lastModifiedBy>窗台1410343643</cp:lastModifiedBy>
  <dcterms:modified xsi:type="dcterms:W3CDTF">2022-10-28T07:22:05Z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85B7835AB8CA460EB0812C45DCD0FDD4</vt:lpwstr>
  </property>
  <property fmtid="{D5CDD505-2E9C-101B-9397-08002B2CF9AE}" pid="4" name="KSOSaveFontToCloudKey">
    <vt:lpwstr>274278490_btnclosed</vt:lpwstr>
  </property>
</Properties>
</file>