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附表一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山地轨道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项目临建工程、混凝土加工及运输劳务合作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工程段划分、工程规模、工期统计表</w:t>
      </w:r>
    </w:p>
    <w:tbl>
      <w:tblPr>
        <w:tblStyle w:val="12"/>
        <w:tblW w:w="553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654"/>
        <w:gridCol w:w="801"/>
        <w:gridCol w:w="1309"/>
        <w:gridCol w:w="1108"/>
        <w:gridCol w:w="10024"/>
        <w:gridCol w:w="13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项目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工程范围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计划工期（月）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工程内容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（包含但不限于以下内容）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5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天眉乐高速项目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TJ3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-2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K20+429-K29+022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1、拌合站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（包含试验室）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临建工程：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土石方、场地硬化、排水、料仓、围墙工程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防护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、拌合站外便道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工程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拌合站的设备提供、安拆、调试及维护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混凝土的拌和并运输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总方量为：36.7万方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。</w:t>
            </w:r>
          </w:p>
        </w:tc>
        <w:tc>
          <w:tcPr>
            <w:tcW w:w="13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1、本次招标工程数量和施工段落划分根据初步设计图纸暂定，待施工图批复后确定最终的施工段落、工程数量。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2、以上工期为暂定工期，实际开工时间以招标人标段项目部通知为准，若业主、招标人在施工过程中要求缩短工期，中标人应无条件配合。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TJ4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-2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K29+022-K39+696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1、拌合站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（包含试验室）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临建工程：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土石方、场地硬化、排水、料仓、围墙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房屋基础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沉淀池、地磅基础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拌合站的设备提供、安拆、调试及维护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混凝土的拌和并运输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总方量为</w:t>
            </w: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：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34.5万方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。</w:t>
            </w:r>
          </w:p>
        </w:tc>
        <w:tc>
          <w:tcPr>
            <w:tcW w:w="13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TJ5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-1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K39+696-K5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+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140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1、拌合站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（包含试验室）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临建工程：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土石方、场地硬化、排水、料仓、围墙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房屋基础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设备基础、水泥罐基础、沉淀池、蓄水池、地磅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拌合站的设备提供、安拆、调试及维护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混凝土的拌和并运输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总方量为</w:t>
            </w: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：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29.9万方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。</w:t>
            </w:r>
          </w:p>
        </w:tc>
        <w:tc>
          <w:tcPr>
            <w:tcW w:w="13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TJ6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-2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K51+775-K65+295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1、拌合站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（包含试验室）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临建工程：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土石方、场地硬化、排水、料仓、围墙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房屋基础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设备基础、水泥罐基础、沉淀池、蓄水池、打井及抽水、地磅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拌合站的设备提供、安拆、调试及维护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混凝土的拌和并运输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总方量为</w:t>
            </w: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：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20.4万方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。</w:t>
            </w:r>
          </w:p>
        </w:tc>
        <w:tc>
          <w:tcPr>
            <w:tcW w:w="13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都四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山地轨道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DSZH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-1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D1K71+685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D1K86+258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范围内砼拌和运输。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6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</w:pP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1、拌合站的设备提供、安拆、调试及维护等。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2、混凝土的拌和并运输总方量为：36万方（含喷射混凝土5.3万方）。喷射混凝土拌合任务待定，应根据甲方施工组织情况确定是否由乙方负责实施。</w:t>
            </w:r>
          </w:p>
        </w:tc>
        <w:tc>
          <w:tcPr>
            <w:tcW w:w="13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default"/>
          <w:highlight w:val="none"/>
          <w:lang w:val="en-US" w:eastAsia="zh-CN"/>
        </w:rPr>
        <w:sectPr>
          <w:pgSz w:w="16838" w:h="11906" w:orient="landscape"/>
          <w:pgMar w:top="1134" w:right="1440" w:bottom="1134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临建工程、混凝土加工及运输劳务合作拟投入设备配置表(最低配置要求）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（TJ3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-2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tbl>
      <w:tblPr>
        <w:tblStyle w:val="12"/>
        <w:tblW w:w="498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703"/>
        <w:gridCol w:w="1316"/>
        <w:gridCol w:w="638"/>
        <w:gridCol w:w="638"/>
        <w:gridCol w:w="746"/>
        <w:gridCol w:w="942"/>
        <w:gridCol w:w="644"/>
        <w:gridCol w:w="23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347" w:type="pct"/>
            <w:vMerge w:val="restart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884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683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规格、型号</w:t>
            </w:r>
          </w:p>
        </w:tc>
        <w:tc>
          <w:tcPr>
            <w:tcW w:w="331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718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基本要求</w:t>
            </w:r>
          </w:p>
        </w:tc>
        <w:tc>
          <w:tcPr>
            <w:tcW w:w="489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每增加一台自有设备加分值</w:t>
            </w:r>
          </w:p>
        </w:tc>
        <w:tc>
          <w:tcPr>
            <w:tcW w:w="334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加分上限</w:t>
            </w:r>
          </w:p>
        </w:tc>
        <w:tc>
          <w:tcPr>
            <w:tcW w:w="1211" w:type="pct"/>
            <w:vMerge w:val="restart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347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总数量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自有设备</w:t>
            </w:r>
          </w:p>
        </w:tc>
        <w:tc>
          <w:tcPr>
            <w:tcW w:w="4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混凝土拌合机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180型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燃油混凝土运输车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m3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电动装载机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必须采用山推品牌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电动混凝土运输车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10m3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6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必须采用比亚迪品牌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地磅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0t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/16m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挖掘机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restart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临建设备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装载机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ZL50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自卸车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双桥车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发电机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400KW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压路机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25T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47" w:type="pct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洒水车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pStyle w:val="2"/>
        <w:ind w:left="0" w:leftChars="0" w:firstLine="361" w:firstLineChars="200"/>
        <w:jc w:val="left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临建工程、混凝土加工及运输劳务合作拟投入设备配置表(最低配置要求）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（TJ4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-2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tbl>
      <w:tblPr>
        <w:tblStyle w:val="12"/>
        <w:tblW w:w="9658" w:type="dxa"/>
        <w:tblInd w:w="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693"/>
        <w:gridCol w:w="1511"/>
        <w:gridCol w:w="672"/>
        <w:gridCol w:w="643"/>
        <w:gridCol w:w="732"/>
        <w:gridCol w:w="903"/>
        <w:gridCol w:w="809"/>
        <w:gridCol w:w="21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58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16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151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规格、型号</w:t>
            </w:r>
          </w:p>
        </w:tc>
        <w:tc>
          <w:tcPr>
            <w:tcW w:w="67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基本要求</w:t>
            </w:r>
          </w:p>
        </w:tc>
        <w:tc>
          <w:tcPr>
            <w:tcW w:w="90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每增加一台自有设备加分值</w:t>
            </w:r>
          </w:p>
        </w:tc>
        <w:tc>
          <w:tcPr>
            <w:tcW w:w="8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加分上限</w:t>
            </w:r>
          </w:p>
        </w:tc>
        <w:tc>
          <w:tcPr>
            <w:tcW w:w="21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5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总数量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自有设备</w:t>
            </w:r>
          </w:p>
        </w:tc>
        <w:tc>
          <w:tcPr>
            <w:tcW w:w="9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58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180型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燃油混凝土运输车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m3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电动装载机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必须采用山推品牌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8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电动混凝土运输车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10m3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必须采用比亚迪品牌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挖掘机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 w:bidi="ar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restar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临建设备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装载机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ZL50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自卸车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双桥车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辆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发电机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 w:bidi="ar"/>
              </w:rPr>
              <w:t>400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KW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压路机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T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洒水车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辆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pStyle w:val="2"/>
        <w:ind w:left="0" w:leftChars="0" w:firstLine="361" w:firstLineChars="200"/>
        <w:jc w:val="left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</w:p>
    <w:p>
      <w:pPr>
        <w:rPr>
          <w:rFonts w:hint="eastAsia"/>
        </w:rPr>
      </w:pP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临建工程、混凝土加工及运输劳务合作拟投入设备配置表(最低配置要求）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（TJ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5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1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tbl>
      <w:tblPr>
        <w:tblStyle w:val="12"/>
        <w:tblW w:w="4991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620"/>
        <w:gridCol w:w="1464"/>
        <w:gridCol w:w="638"/>
        <w:gridCol w:w="638"/>
        <w:gridCol w:w="746"/>
        <w:gridCol w:w="943"/>
        <w:gridCol w:w="642"/>
        <w:gridCol w:w="23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" w:type="pct"/>
            <w:vMerge w:val="restart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840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759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规格、型号</w:t>
            </w:r>
          </w:p>
        </w:tc>
        <w:tc>
          <w:tcPr>
            <w:tcW w:w="331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718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基本要求</w:t>
            </w:r>
          </w:p>
        </w:tc>
        <w:tc>
          <w:tcPr>
            <w:tcW w:w="489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每增加一台自有设备加分值</w:t>
            </w:r>
          </w:p>
        </w:tc>
        <w:tc>
          <w:tcPr>
            <w:tcW w:w="333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加分上限</w:t>
            </w:r>
          </w:p>
        </w:tc>
        <w:tc>
          <w:tcPr>
            <w:tcW w:w="1211" w:type="pct"/>
            <w:vMerge w:val="restart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总数量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自有设备</w:t>
            </w:r>
          </w:p>
        </w:tc>
        <w:tc>
          <w:tcPr>
            <w:tcW w:w="4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315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180型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5" w:type="pct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8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燃油混凝土运输车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m3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15" w:type="pct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电动装载机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必须采用山推品牌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315" w:type="pct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8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电动混凝土运输车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10m3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必须采用比亚迪品牌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5" w:type="pct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84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地磅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0t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/16m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挖掘机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restart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临建设备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装载机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ZL50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自卸车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双桥车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6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发电机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400KW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压路机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25T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21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洒水车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pStyle w:val="2"/>
        <w:ind w:left="0" w:leftChars="0" w:firstLine="361" w:firstLineChars="200"/>
        <w:jc w:val="left"/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临建工程、混凝土加工及运输劳务合作拟投入设备配置表(最低配置要求）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（TJ6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-2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tbl>
      <w:tblPr>
        <w:tblStyle w:val="12"/>
        <w:tblW w:w="0" w:type="auto"/>
        <w:tblInd w:w="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640"/>
        <w:gridCol w:w="1474"/>
        <w:gridCol w:w="642"/>
        <w:gridCol w:w="643"/>
        <w:gridCol w:w="585"/>
        <w:gridCol w:w="1516"/>
        <w:gridCol w:w="635"/>
        <w:gridCol w:w="19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  <w:tblHeader/>
        </w:trPr>
        <w:tc>
          <w:tcPr>
            <w:tcW w:w="586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1640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147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规格、型号</w:t>
            </w:r>
          </w:p>
        </w:tc>
        <w:tc>
          <w:tcPr>
            <w:tcW w:w="642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122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基本要求</w:t>
            </w:r>
          </w:p>
        </w:tc>
        <w:tc>
          <w:tcPr>
            <w:tcW w:w="1516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每增加一台自有设备加分值</w:t>
            </w:r>
          </w:p>
        </w:tc>
        <w:tc>
          <w:tcPr>
            <w:tcW w:w="635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加分上限</w:t>
            </w:r>
          </w:p>
        </w:tc>
        <w:tc>
          <w:tcPr>
            <w:tcW w:w="1937" w:type="dxa"/>
            <w:vMerge w:val="restar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58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总数量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自有设备</w:t>
            </w:r>
          </w:p>
        </w:tc>
        <w:tc>
          <w:tcPr>
            <w:tcW w:w="15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180型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燃油混凝土运输车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m3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电动装载机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必须采用山推品牌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电动混凝土运输车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10m3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必须采用比亚迪品牌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挖掘机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临建设备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装载机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ZL50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自卸车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双桥车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发电机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400KW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压路机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25T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洒水车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both"/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61" w:firstLineChars="200"/>
        <w:jc w:val="both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临建工程、混凝土加工及运输劳务合作拟投入设备配置表(最低配置要求）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DSZH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1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tbl>
      <w:tblPr>
        <w:tblStyle w:val="12"/>
        <w:tblW w:w="4986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897"/>
        <w:gridCol w:w="1310"/>
        <w:gridCol w:w="634"/>
        <w:gridCol w:w="636"/>
        <w:gridCol w:w="586"/>
        <w:gridCol w:w="1158"/>
        <w:gridCol w:w="722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98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68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规格、型号</w:t>
            </w:r>
          </w:p>
        </w:tc>
        <w:tc>
          <w:tcPr>
            <w:tcW w:w="32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63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基本要求</w:t>
            </w:r>
          </w:p>
        </w:tc>
        <w:tc>
          <w:tcPr>
            <w:tcW w:w="60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每增加一台自有设备加分值</w:t>
            </w:r>
          </w:p>
        </w:tc>
        <w:tc>
          <w:tcPr>
            <w:tcW w:w="37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加分上限</w:t>
            </w:r>
          </w:p>
        </w:tc>
        <w:tc>
          <w:tcPr>
            <w:tcW w:w="114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总数量</w:t>
            </w:r>
          </w:p>
        </w:tc>
        <w:tc>
          <w:tcPr>
            <w:tcW w:w="3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自有设备</w:t>
            </w:r>
          </w:p>
        </w:tc>
        <w:tc>
          <w:tcPr>
            <w:tcW w:w="60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52" w:type="pct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180型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52" w:type="pct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0型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52" w:type="pct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燃油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混凝土运输车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10m3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52" w:type="pc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电动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混凝土运输车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m3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必须采用比亚迪品牌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52" w:type="pc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电动装载机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必须采用山推品牌</w:t>
            </w: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（其中湿喷站1台）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2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85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地磅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0t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/16m</w:t>
            </w:r>
          </w:p>
        </w:tc>
        <w:tc>
          <w:tcPr>
            <w:tcW w:w="329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4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5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pc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61" w:firstLineChars="200"/>
        <w:jc w:val="both"/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</w:p>
    <w:p>
      <w:pPr>
        <w:pStyle w:val="15"/>
        <w:numPr>
          <w:ilvl w:val="0"/>
          <w:numId w:val="0"/>
        </w:numPr>
        <w:tabs>
          <w:tab w:val="right" w:leader="dot" w:pos="8306"/>
        </w:tabs>
        <w:ind w:left="0" w:firstLine="0"/>
        <w:jc w:val="center"/>
        <w:outlineLvl w:val="9"/>
        <w:rPr>
          <w:rFonts w:hint="eastAsia" w:ascii="宋体" w:hAnsi="宋体" w:eastAsia="宋体" w:cs="宋体"/>
          <w:b/>
          <w:bCs/>
          <w:color w:val="auto"/>
          <w:sz w:val="48"/>
          <w:szCs w:val="48"/>
          <w:highlight w:val="none"/>
          <w:lang w:val="en-US" w:bidi="zh-CN"/>
        </w:rPr>
      </w:pPr>
    </w:p>
    <w:p>
      <w:pPr>
        <w:pStyle w:val="15"/>
        <w:numPr>
          <w:ilvl w:val="0"/>
          <w:numId w:val="0"/>
        </w:numPr>
        <w:tabs>
          <w:tab w:val="right" w:leader="dot" w:pos="8306"/>
        </w:tabs>
        <w:ind w:left="0" w:firstLine="0"/>
        <w:jc w:val="center"/>
        <w:outlineLvl w:val="9"/>
        <w:rPr>
          <w:rFonts w:hint="eastAsia" w:ascii="宋体" w:hAnsi="宋体" w:eastAsia="宋体" w:cs="宋体"/>
          <w:b/>
          <w:bCs/>
          <w:color w:val="auto"/>
          <w:sz w:val="48"/>
          <w:szCs w:val="48"/>
          <w:highlight w:val="none"/>
          <w:lang w:val="en-US" w:bidi="zh-CN"/>
        </w:rPr>
      </w:pPr>
    </w:p>
    <w:p>
      <w:pPr>
        <w:rPr>
          <w:rFonts w:hint="eastAsia"/>
        </w:rPr>
      </w:pPr>
    </w:p>
    <w:p>
      <w:pPr>
        <w:rPr>
          <w:highlight w:val="none"/>
        </w:rPr>
      </w:pPr>
    </w:p>
    <w:sectPr>
      <w:pgSz w:w="11906" w:h="16838"/>
      <w:pgMar w:top="1134" w:right="1236" w:bottom="1134" w:left="1236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DF47488"/>
    <w:rsid w:val="00963C41"/>
    <w:rsid w:val="04451A44"/>
    <w:rsid w:val="084F2744"/>
    <w:rsid w:val="0A51029C"/>
    <w:rsid w:val="0B2D79F3"/>
    <w:rsid w:val="0DF47488"/>
    <w:rsid w:val="10A01648"/>
    <w:rsid w:val="10F9519F"/>
    <w:rsid w:val="17714F86"/>
    <w:rsid w:val="1EAC07D7"/>
    <w:rsid w:val="1FBBDC62"/>
    <w:rsid w:val="21AD61C0"/>
    <w:rsid w:val="23B07603"/>
    <w:rsid w:val="25C02440"/>
    <w:rsid w:val="25F0369F"/>
    <w:rsid w:val="27C94D85"/>
    <w:rsid w:val="2828479E"/>
    <w:rsid w:val="2A0B598A"/>
    <w:rsid w:val="2FC45338"/>
    <w:rsid w:val="2FF05D14"/>
    <w:rsid w:val="313F372D"/>
    <w:rsid w:val="31FB3AF8"/>
    <w:rsid w:val="35A523A4"/>
    <w:rsid w:val="3A257964"/>
    <w:rsid w:val="3C20593B"/>
    <w:rsid w:val="3ECF1BAB"/>
    <w:rsid w:val="41874A60"/>
    <w:rsid w:val="439C3086"/>
    <w:rsid w:val="4A744ADC"/>
    <w:rsid w:val="4E030E09"/>
    <w:rsid w:val="548473BC"/>
    <w:rsid w:val="562E7B0D"/>
    <w:rsid w:val="56913258"/>
    <w:rsid w:val="5BE161C7"/>
    <w:rsid w:val="5F3B34FB"/>
    <w:rsid w:val="6F1E6154"/>
    <w:rsid w:val="754C44B1"/>
    <w:rsid w:val="7F7EE6CA"/>
    <w:rsid w:val="7FFE147B"/>
    <w:rsid w:val="979BDB86"/>
    <w:rsid w:val="C5BD0783"/>
    <w:rsid w:val="EA0F062A"/>
    <w:rsid w:val="F1BF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5">
    <w:name w:val="Normal Indent"/>
    <w:basedOn w:val="1"/>
    <w:qFormat/>
    <w:uiPriority w:val="0"/>
    <w:pPr>
      <w:ind w:firstLine="420"/>
    </w:pPr>
    <w:rPr>
      <w:kern w:val="2"/>
      <w:sz w:val="21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character" w:styleId="14">
    <w:name w:val="Strong"/>
    <w:qFormat/>
    <w:uiPriority w:val="0"/>
    <w:rPr>
      <w:rFonts w:cs="Times New Roman"/>
      <w:b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character" w:customStyle="1" w:styleId="17">
    <w:name w:val="font71"/>
    <w:basedOn w:val="13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paragraph" w:customStyle="1" w:styleId="18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3512</Words>
  <Characters>3965</Characters>
  <Lines>0</Lines>
  <Paragraphs>0</Paragraphs>
  <TotalTime>6</TotalTime>
  <ScaleCrop>false</ScaleCrop>
  <LinksUpToDate>false</LinksUpToDate>
  <CharactersWithSpaces>4005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2021-10-07T09:14:00Z</dcterms:created>
  <dc:creator>热心网友</dc:creator>
  <cp:lastModifiedBy>Sensual</cp:lastModifiedBy>
  <cp:lastPrinted>2022-01-29T11:52:00Z</cp:lastPrinted>
  <dcterms:modified xsi:type="dcterms:W3CDTF">2022-11-21T09:05:21Z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8CF358D363F641A2809181D28C909049</vt:lpwstr>
  </property>
</Properties>
</file>