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附表一</w:t>
      </w:r>
    </w:p>
    <w:p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都四</w:t>
      </w:r>
      <w:r>
        <w:rPr>
          <w:rFonts w:hint="default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eastAsia="zh-CN" w:bidi="ar-SA"/>
        </w:rPr>
        <w:t>山地轨道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项目混凝土加工及运输劳务合作</w:t>
      </w:r>
    </w:p>
    <w:p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工程段划分、工程规模、工期统计表</w:t>
      </w:r>
    </w:p>
    <w:tbl>
      <w:tblPr>
        <w:tblStyle w:val="16"/>
        <w:tblW w:w="5536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"/>
        <w:gridCol w:w="653"/>
        <w:gridCol w:w="1180"/>
        <w:gridCol w:w="1545"/>
        <w:gridCol w:w="1178"/>
        <w:gridCol w:w="6191"/>
        <w:gridCol w:w="450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tblHeader/>
          <w:jc w:val="center"/>
        </w:trPr>
        <w:tc>
          <w:tcPr>
            <w:tcW w:w="4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6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项目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分段名称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  <w:t>工程范围</w:t>
            </w:r>
          </w:p>
        </w:tc>
        <w:tc>
          <w:tcPr>
            <w:tcW w:w="11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计划工期（月）</w:t>
            </w:r>
          </w:p>
        </w:tc>
        <w:tc>
          <w:tcPr>
            <w:tcW w:w="619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工程内容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（包含但不限于以下内容）</w:t>
            </w:r>
          </w:p>
        </w:tc>
        <w:tc>
          <w:tcPr>
            <w:tcW w:w="450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3" w:hRule="atLeast"/>
          <w:jc w:val="center"/>
        </w:trPr>
        <w:tc>
          <w:tcPr>
            <w:tcW w:w="421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5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都四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山地轨道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118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DSZH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54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D1K71+685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-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D1K86+258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范围内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混凝土加工及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运输。</w:t>
            </w:r>
          </w:p>
        </w:tc>
        <w:tc>
          <w:tcPr>
            <w:tcW w:w="1178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3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6</w:t>
            </w:r>
          </w:p>
        </w:tc>
        <w:tc>
          <w:tcPr>
            <w:tcW w:w="6191" w:type="dxa"/>
            <w:noWrap w:val="0"/>
            <w:vAlign w:val="center"/>
          </w:tcPr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cs="Times New Roman"/>
                <w:color w:val="auto"/>
                <w:kern w:val="2"/>
                <w:sz w:val="20"/>
                <w:szCs w:val="21"/>
                <w:highlight w:val="none"/>
                <w:lang w:eastAsia="zh-CN" w:bidi="ar"/>
              </w:rPr>
            </w:pPr>
            <w:r>
              <w:rPr>
                <w:rFonts w:hint="default" w:cs="Times New Roman"/>
                <w:color w:val="auto"/>
                <w:kern w:val="2"/>
                <w:sz w:val="20"/>
                <w:szCs w:val="21"/>
                <w:highlight w:val="none"/>
                <w:lang w:eastAsia="zh-CN" w:bidi="ar"/>
              </w:rPr>
              <w:t>1、拌合站的设备提供、安拆、调试及维护等。</w:t>
            </w:r>
          </w:p>
          <w:p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cs="Times New Roman"/>
                <w:color w:val="auto"/>
                <w:kern w:val="2"/>
                <w:sz w:val="20"/>
                <w:szCs w:val="21"/>
                <w:highlight w:val="none"/>
                <w:lang w:eastAsia="zh-CN" w:bidi="ar"/>
              </w:rPr>
              <w:t>2、混凝土的拌和并运输总方量为：</w:t>
            </w:r>
            <w:r>
              <w:rPr>
                <w:rFonts w:hint="eastAsia" w:cs="Times New Roman"/>
                <w:color w:val="auto"/>
                <w:kern w:val="2"/>
                <w:sz w:val="20"/>
                <w:szCs w:val="21"/>
                <w:highlight w:val="none"/>
                <w:lang w:val="en-US" w:eastAsia="zh-CN" w:bidi="ar"/>
              </w:rPr>
              <w:t>31</w:t>
            </w:r>
            <w:r>
              <w:rPr>
                <w:rFonts w:hint="default" w:cs="Times New Roman"/>
                <w:color w:val="auto"/>
                <w:kern w:val="2"/>
                <w:sz w:val="20"/>
                <w:szCs w:val="21"/>
                <w:highlight w:val="none"/>
                <w:lang w:eastAsia="zh-CN" w:bidi="ar"/>
              </w:rPr>
              <w:t>万方。</w:t>
            </w:r>
          </w:p>
        </w:tc>
        <w:tc>
          <w:tcPr>
            <w:tcW w:w="4507" w:type="dxa"/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1、本次招标工程数量和施工段落划分根据初步设计图纸暂定，待施工图批复后确定最终的施工段落、工程数量。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highlight w:val="none"/>
                <w:lang w:val="en-US" w:eastAsia="zh-CN" w:bidi="ar"/>
              </w:rPr>
              <w:t>2、以上工期为暂定工期，实际开工时间以招标人标段项目部通知为准，若业主、招标人在施工过程中要求缩短工期，中标人应无条件配合。</w:t>
            </w:r>
          </w:p>
        </w:tc>
      </w:tr>
    </w:tbl>
    <w:p>
      <w:pPr>
        <w:pStyle w:val="2"/>
        <w:ind w:firstLine="0"/>
        <w:rPr>
          <w:rFonts w:hint="default"/>
          <w:color w:val="auto"/>
          <w:highlight w:val="none"/>
        </w:rPr>
        <w:sectPr>
          <w:headerReference r:id="rId3" w:type="default"/>
          <w:footerReference r:id="rId4" w:type="default"/>
          <w:pgSz w:w="16838" w:h="11911" w:orient="landscape"/>
          <w:pgMar w:top="1100" w:right="1599" w:bottom="1179" w:left="1298" w:header="0" w:footer="567" w:gutter="0"/>
          <w:cols w:space="720" w:num="1"/>
          <w:docGrid w:linePitch="1" w:charSpace="0"/>
        </w:sectPr>
      </w:pPr>
    </w:p>
    <w:p>
      <w:pPr>
        <w:pStyle w:val="2"/>
        <w:ind w:firstLine="0"/>
        <w:jc w:val="left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附表二</w:t>
      </w:r>
    </w:p>
    <w:p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都四山地轨道项目混凝土加工及运输劳务合作</w:t>
      </w:r>
    </w:p>
    <w:p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企业资质等级要求、业绩基本要求</w:t>
      </w: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6"/>
        <w:tblW w:w="4992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4" w:space="0"/>
          <w:insideV w:val="non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19"/>
        <w:gridCol w:w="1066"/>
        <w:gridCol w:w="1212"/>
        <w:gridCol w:w="1651"/>
        <w:gridCol w:w="3220"/>
        <w:gridCol w:w="97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 w:hRule="atLeast"/>
          <w:jc w:val="center"/>
        </w:trPr>
        <w:tc>
          <w:tcPr>
            <w:tcW w:w="787" w:type="pct"/>
            <w:tcBorders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项目</w:t>
            </w:r>
          </w:p>
        </w:tc>
        <w:tc>
          <w:tcPr>
            <w:tcW w:w="552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分段名称</w:t>
            </w:r>
          </w:p>
        </w:tc>
        <w:tc>
          <w:tcPr>
            <w:tcW w:w="628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主要特征</w:t>
            </w:r>
          </w:p>
        </w:tc>
        <w:tc>
          <w:tcPr>
            <w:tcW w:w="85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施工企业资质等级要求</w:t>
            </w:r>
          </w:p>
        </w:tc>
        <w:tc>
          <w:tcPr>
            <w:tcW w:w="1668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054" w:firstLineChars="50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业绩基本要求</w:t>
            </w:r>
          </w:p>
        </w:tc>
        <w:tc>
          <w:tcPr>
            <w:tcW w:w="507" w:type="pct"/>
            <w:tcBorders>
              <w:left w:val="single" w:color="auto" w:sz="4" w:space="0"/>
              <w:bottom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211" w:firstLineChars="100"/>
              <w:jc w:val="both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5" w:hRule="atLeast"/>
          <w:jc w:val="center"/>
        </w:trPr>
        <w:tc>
          <w:tcPr>
            <w:tcW w:w="787" w:type="pct"/>
            <w:tcBorders>
              <w:top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3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都四</w:t>
            </w:r>
            <w:r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eastAsia="zh-CN" w:bidi="ar-SA"/>
              </w:rPr>
              <w:t>山地轨道</w:t>
            </w:r>
          </w:p>
        </w:tc>
        <w:tc>
          <w:tcPr>
            <w:tcW w:w="552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13"/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DSZH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eastAsia="zh-CN" w:bidi="ar"/>
              </w:rPr>
              <w:t>-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62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混凝土加工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运输</w:t>
            </w:r>
          </w:p>
        </w:tc>
        <w:tc>
          <w:tcPr>
            <w:tcW w:w="85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具有行业主管部门颁发的施工劳务资质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Hans" w:bidi="ar"/>
              </w:rPr>
              <w:t>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公路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  <w:t>、铁路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工程施工三级以上资质及施工劳务资质</w:t>
            </w:r>
          </w:p>
        </w:tc>
        <w:tc>
          <w:tcPr>
            <w:tcW w:w="166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  <w:t>近五年内（自2017年11月1日起至今，以项目交工验收时间或劳务/加工合同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签订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  <w:t>时间为准）完成</w:t>
            </w:r>
            <w:r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  <w:t>(或在建)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eastAsia="zh-CN" w:bidi="ar"/>
              </w:rPr>
              <w:t>类似的混凝土拌和运输劳务合作工程项目施工业绩1个及以上，合同总金额在1000万元(含)以上。</w:t>
            </w:r>
          </w:p>
        </w:tc>
        <w:tc>
          <w:tcPr>
            <w:tcW w:w="507" w:type="pct"/>
            <w:tcBorders>
              <w:top w:val="single" w:color="auto" w:sz="4" w:space="0"/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以提供的合同协议书为准</w:t>
            </w:r>
          </w:p>
        </w:tc>
      </w:tr>
    </w:tbl>
    <w:p>
      <w:pPr>
        <w:rPr>
          <w:rFonts w:hint="eastAsia" w:ascii="宋体" w:hAnsi="宋体" w:eastAsia="宋体" w:cs="宋体"/>
          <w:b/>
          <w:bCs/>
          <w:color w:val="auto"/>
          <w:sz w:val="20"/>
          <w:szCs w:val="20"/>
          <w:highlight w:val="none"/>
        </w:rPr>
        <w:sectPr>
          <w:headerReference r:id="rId5" w:type="default"/>
          <w:footerReference r:id="rId6" w:type="default"/>
          <w:pgSz w:w="11911" w:h="16838"/>
          <w:pgMar w:top="1599" w:right="1179" w:bottom="1298" w:left="1100" w:header="0" w:footer="567" w:gutter="0"/>
          <w:cols w:space="720" w:num="1"/>
          <w:rtlGutter w:val="0"/>
          <w:docGrid w:linePitch="1" w:charSpace="0"/>
        </w:sectPr>
      </w:pPr>
    </w:p>
    <w:p>
      <w:pPr>
        <w:outlineLvl w:val="1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附表三</w:t>
      </w:r>
    </w:p>
    <w:p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都四山地轨道项目混凝土加工及运输劳务合作</w:t>
      </w:r>
    </w:p>
    <w:p>
      <w:pPr>
        <w:pStyle w:val="2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拟投入主要人员配置表(最低要求）</w:t>
      </w:r>
    </w:p>
    <w:tbl>
      <w:tblPr>
        <w:tblStyle w:val="16"/>
        <w:tblW w:w="4863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05"/>
        <w:gridCol w:w="1812"/>
        <w:gridCol w:w="1621"/>
        <w:gridCol w:w="1279"/>
        <w:gridCol w:w="249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558" w:type="pct"/>
            <w:tcBorders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1117" w:type="pct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人员</w:t>
            </w:r>
          </w:p>
        </w:tc>
        <w:tc>
          <w:tcPr>
            <w:tcW w:w="999" w:type="pct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工作任务</w:t>
            </w:r>
          </w:p>
        </w:tc>
        <w:tc>
          <w:tcPr>
            <w:tcW w:w="788" w:type="pct"/>
            <w:tcBorders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11" w:firstLineChars="10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数量</w:t>
            </w:r>
          </w:p>
        </w:tc>
        <w:tc>
          <w:tcPr>
            <w:tcW w:w="1535" w:type="pct"/>
            <w:tcBorders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11" w:firstLineChars="10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highlight w:val="none"/>
                <w:lang w:bidi="ar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558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1</w:t>
            </w:r>
          </w:p>
        </w:tc>
        <w:tc>
          <w:tcPr>
            <w:tcW w:w="11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负责人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生产管理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558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1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技术负责人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技术、质量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558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11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安全</w:t>
            </w:r>
            <w:r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环保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员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安全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、环水保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管理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具有主管部门颁发的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安全员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C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eastAsia="zh-CN" w:bidi="ar"/>
              </w:rPr>
              <w:t>类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证书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558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1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设备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员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负责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拌合及运输设备等管理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2" w:hRule="atLeast"/>
        </w:trPr>
        <w:tc>
          <w:tcPr>
            <w:tcW w:w="558" w:type="pc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11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bidi="ar"/>
              </w:rPr>
              <w:t>内业人员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负责内业资料、结算等相关工作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5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558" w:type="pct"/>
            <w:tcBorders>
              <w:top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117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材料员</w:t>
            </w:r>
          </w:p>
        </w:tc>
        <w:tc>
          <w:tcPr>
            <w:tcW w:w="999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负责材料管理工作</w:t>
            </w:r>
          </w:p>
        </w:tc>
        <w:tc>
          <w:tcPr>
            <w:tcW w:w="788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535" w:type="pct"/>
            <w:tcBorders>
              <w:top w:val="single" w:color="auto" w:sz="4" w:space="0"/>
              <w:lef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</w:tr>
    </w:tbl>
    <w:p>
      <w:pPr>
        <w:rPr>
          <w:rFonts w:hint="eastAsia"/>
          <w:color w:val="auto"/>
          <w:highlight w:val="none"/>
        </w:rPr>
      </w:pPr>
    </w:p>
    <w:p>
      <w:pPr>
        <w:widowControl/>
        <w:jc w:val="left"/>
        <w:rPr>
          <w:rFonts w:hint="eastAsia" w:ascii="宋体" w:hAnsi="宋体" w:eastAsia="宋体" w:cs="宋体"/>
          <w:b/>
          <w:bCs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18"/>
          <w:szCs w:val="18"/>
          <w:highlight w:val="none"/>
        </w:rPr>
        <w:t>注：</w:t>
      </w:r>
    </w:p>
    <w:p>
      <w:pPr>
        <w:widowControl/>
        <w:numPr>
          <w:ilvl w:val="0"/>
          <w:numId w:val="3"/>
        </w:numPr>
        <w:ind w:firstLine="360" w:firstLineChars="200"/>
        <w:jc w:val="left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default" w:ascii="宋体" w:hAnsi="宋体" w:eastAsia="宋体" w:cs="宋体"/>
          <w:color w:val="auto"/>
          <w:sz w:val="18"/>
          <w:szCs w:val="18"/>
          <w:highlight w:val="none"/>
        </w:rPr>
        <w:t>以上人员为每个标段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主要</w:t>
      </w:r>
      <w:r>
        <w:rPr>
          <w:rFonts w:hint="default" w:ascii="宋体" w:hAnsi="宋体" w:eastAsia="宋体" w:cs="宋体"/>
          <w:color w:val="auto"/>
          <w:sz w:val="18"/>
          <w:szCs w:val="18"/>
          <w:highlight w:val="none"/>
        </w:rPr>
        <w:t>管理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人员的最低要求，投标人应根据施工需要或招标人的要求增加相关人员。</w:t>
      </w:r>
    </w:p>
    <w:p>
      <w:pPr>
        <w:pStyle w:val="2"/>
        <w:numPr>
          <w:ilvl w:val="0"/>
          <w:numId w:val="0"/>
        </w:numPr>
        <w:ind w:firstLine="360" w:firstLineChars="200"/>
        <w:rPr>
          <w:rFonts w:hint="default" w:ascii="宋体" w:hAnsi="宋体" w:eastAsia="宋体" w:cs="宋体"/>
          <w:color w:val="auto"/>
          <w:kern w:val="2"/>
          <w:sz w:val="18"/>
          <w:szCs w:val="1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18"/>
          <w:szCs w:val="18"/>
          <w:highlight w:val="none"/>
          <w:lang w:val="en-US" w:eastAsia="zh-CN" w:bidi="ar-SA"/>
        </w:rPr>
        <w:t>2、生产人员（如拌和站操作手、装载机及混凝土运输车驾驶员、维修、保洁等人员）根据项目部生产需求进行配置。</w:t>
      </w:r>
    </w:p>
    <w:p>
      <w:pPr>
        <w:widowControl/>
        <w:ind w:firstLine="360" w:firstLineChars="200"/>
        <w:jc w:val="left"/>
        <w:rPr>
          <w:rFonts w:hint="eastAsia" w:ascii="宋体" w:hAnsi="宋体" w:eastAsia="宋体" w:cs="宋体"/>
          <w:color w:val="auto"/>
          <w:kern w:val="2"/>
          <w:sz w:val="18"/>
          <w:szCs w:val="1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18"/>
          <w:szCs w:val="18"/>
          <w:highlight w:val="none"/>
          <w:lang w:val="en-US" w:eastAsia="zh-CN" w:bidi="ar-SA"/>
        </w:rPr>
        <w:t>3、如因投标人的原因(除不可抗拒因素外)更换上述主要人员（</w:t>
      </w:r>
      <w:r>
        <w:rPr>
          <w:rFonts w:hint="default" w:ascii="宋体" w:hAnsi="宋体" w:eastAsia="宋体" w:cs="宋体"/>
          <w:color w:val="auto"/>
          <w:kern w:val="2"/>
          <w:sz w:val="18"/>
          <w:szCs w:val="18"/>
          <w:highlight w:val="none"/>
          <w:lang w:eastAsia="zh-CN" w:bidi="ar-SA"/>
        </w:rPr>
        <w:t>项目</w:t>
      </w:r>
      <w:r>
        <w:rPr>
          <w:rFonts w:hint="eastAsia" w:ascii="宋体" w:hAnsi="宋体" w:eastAsia="宋体" w:cs="宋体"/>
          <w:color w:val="auto"/>
          <w:kern w:val="2"/>
          <w:sz w:val="18"/>
          <w:szCs w:val="18"/>
          <w:highlight w:val="none"/>
          <w:lang w:val="en-US" w:eastAsia="zh-CN" w:bidi="ar-SA"/>
        </w:rPr>
        <w:t>负责人、技术负责人），须报请招标人批准，更换人员的资质不能低于招标文件要求，自行更换主要负责人的，对投标人按每人次处以</w:t>
      </w:r>
      <w:r>
        <w:rPr>
          <w:rFonts w:hint="default" w:ascii="宋体" w:hAnsi="宋体" w:eastAsia="宋体" w:cs="宋体"/>
          <w:color w:val="auto"/>
          <w:kern w:val="2"/>
          <w:sz w:val="18"/>
          <w:szCs w:val="18"/>
          <w:highlight w:val="none"/>
          <w:lang w:eastAsia="zh-CN" w:bidi="ar-SA"/>
        </w:rPr>
        <w:t>50</w:t>
      </w:r>
      <w:r>
        <w:rPr>
          <w:rFonts w:hint="eastAsia" w:ascii="宋体" w:hAnsi="宋体" w:eastAsia="宋体" w:cs="宋体"/>
          <w:color w:val="auto"/>
          <w:kern w:val="2"/>
          <w:sz w:val="18"/>
          <w:szCs w:val="18"/>
          <w:highlight w:val="none"/>
          <w:lang w:val="en-US" w:eastAsia="zh-CN" w:bidi="ar-SA"/>
        </w:rPr>
        <w:t>万元人民币违约金。</w:t>
      </w:r>
    </w:p>
    <w:p>
      <w:pPr>
        <w:widowControl/>
        <w:ind w:firstLine="360" w:firstLineChars="200"/>
        <w:jc w:val="left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kern w:val="2"/>
          <w:sz w:val="18"/>
          <w:szCs w:val="18"/>
          <w:highlight w:val="none"/>
          <w:lang w:val="en-US" w:eastAsia="zh-CN" w:bidi="ar-SA"/>
        </w:rPr>
        <w:t>4、相关管理人员必须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在岗，有特殊情况离岗必须向项目部请假并得到批准。</w:t>
      </w: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</w:p>
    <w:p>
      <w:pP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br w:type="page"/>
      </w:r>
    </w:p>
    <w:p>
      <w:pPr>
        <w:pStyle w:val="2"/>
        <w:ind w:firstLine="0"/>
        <w:jc w:val="left"/>
        <w:outlineLvl w:val="1"/>
        <w:rPr>
          <w:rFonts w:hint="default" w:ascii="宋体" w:hAnsi="宋体" w:eastAsia="宋体" w:cs="宋体"/>
          <w:b w:val="0"/>
          <w:bCs w:val="0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附表四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都四山地轨道项目混凝土加工及运输劳务合作拟投入设备配置表</w:t>
      </w:r>
    </w:p>
    <w:p>
      <w:pPr>
        <w:tabs>
          <w:tab w:val="left" w:pos="3480"/>
          <w:tab w:val="left" w:pos="4520"/>
          <w:tab w:val="left" w:pos="5560"/>
        </w:tabs>
        <w:autoSpaceDE w:val="0"/>
        <w:autoSpaceDN w:val="0"/>
        <w:adjustRightInd w:val="0"/>
        <w:spacing w:line="360" w:lineRule="auto"/>
        <w:jc w:val="center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(最低配置要求）（</w:t>
      </w:r>
      <w:r>
        <w:rPr>
          <w:rFonts w:hint="default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eastAsia="zh-CN" w:bidi="ar-SA"/>
        </w:rPr>
        <w:t>DSZH</w:t>
      </w:r>
      <w:r>
        <w:rPr>
          <w:rFonts w:hint="default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-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lang w:val="en-US" w:eastAsia="zh-CN" w:bidi="ar-SA"/>
        </w:rPr>
        <w:t>1）</w:t>
      </w:r>
    </w:p>
    <w:tbl>
      <w:tblPr>
        <w:tblStyle w:val="16"/>
        <w:tblW w:w="9276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3"/>
        <w:gridCol w:w="1782"/>
        <w:gridCol w:w="1533"/>
        <w:gridCol w:w="980"/>
        <w:gridCol w:w="437"/>
        <w:gridCol w:w="468"/>
        <w:gridCol w:w="682"/>
        <w:gridCol w:w="567"/>
        <w:gridCol w:w="24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4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7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机械设备名称</w:t>
            </w:r>
          </w:p>
        </w:tc>
        <w:tc>
          <w:tcPr>
            <w:tcW w:w="15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规格、型号</w:t>
            </w:r>
          </w:p>
        </w:tc>
        <w:tc>
          <w:tcPr>
            <w:tcW w:w="9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9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基本要求</w:t>
            </w:r>
          </w:p>
        </w:tc>
        <w:tc>
          <w:tcPr>
            <w:tcW w:w="68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每增加一台自有设备加分值</w:t>
            </w:r>
          </w:p>
        </w:tc>
        <w:tc>
          <w:tcPr>
            <w:tcW w:w="56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加分上限</w:t>
            </w:r>
          </w:p>
        </w:tc>
        <w:tc>
          <w:tcPr>
            <w:tcW w:w="24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4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7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15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总数量</w:t>
            </w:r>
          </w:p>
        </w:tc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自有设备</w:t>
            </w:r>
          </w:p>
        </w:tc>
        <w:tc>
          <w:tcPr>
            <w:tcW w:w="68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56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24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混凝土拌合机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180型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采用新设备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燃油混凝土运输车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10m³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strike/>
                <w:color w:val="auto"/>
                <w:sz w:val="18"/>
                <w:szCs w:val="18"/>
                <w:highlight w:val="none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0.5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电动混凝土运输车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≥10m³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必须采用比亚迪品牌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电动装载机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50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必须采用山推品牌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地磅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120t/16m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洒水车（带雾炮）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≥4m³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砂石分离机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处理能力＞50吨/小时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室外喷雾杆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自动喷雾杆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料仓喷雾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3800m³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浆水储存搅拌罐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生产能力配套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压滤机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过滤面积40m³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除尘雾炮机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喷射距离不小于30m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污水处理系统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生产能力配套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龙门洗车机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不小于4.5*5.5m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清扫车</w:t>
            </w:r>
          </w:p>
        </w:tc>
        <w:tc>
          <w:tcPr>
            <w:tcW w:w="15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带喷雾机</w:t>
            </w:r>
          </w:p>
        </w:tc>
        <w:tc>
          <w:tcPr>
            <w:tcW w:w="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辆</w:t>
            </w:r>
          </w:p>
        </w:tc>
        <w:tc>
          <w:tcPr>
            <w:tcW w:w="4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6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  <w:tc>
          <w:tcPr>
            <w:tcW w:w="24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highlight w:val="none"/>
                <w:u w:val="none"/>
              </w:rPr>
            </w:pPr>
          </w:p>
        </w:tc>
      </w:tr>
    </w:tbl>
    <w:p>
      <w:pPr>
        <w:widowControl/>
        <w:jc w:val="both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注：</w:t>
      </w:r>
    </w:p>
    <w:p>
      <w:pPr>
        <w:widowControl/>
        <w:ind w:firstLine="360" w:firstLineChars="200"/>
        <w:jc w:val="both"/>
        <w:textAlignment w:val="center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1、因本项目环保要求及品质工程建设需要，若有项目业主、招标人需要增加装备的情况，投标人应配合招标人完成装备的增加，并投入使用。</w:t>
      </w:r>
    </w:p>
    <w:p>
      <w:pPr>
        <w:ind w:firstLine="360" w:firstLineChars="200"/>
        <w:jc w:val="both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2、本表中的总数量为承包人中标后向发包人承诺的投入最低设备要求，并以书面形式纳入合同附件。</w:t>
      </w:r>
    </w:p>
    <w:p>
      <w:pPr>
        <w:jc w:val="both"/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 xml:space="preserve"> </w:t>
      </w:r>
      <w:r>
        <w:rPr>
          <w:rFonts w:hint="default" w:ascii="宋体" w:hAnsi="宋体" w:eastAsia="宋体" w:cs="宋体"/>
          <w:color w:val="auto"/>
          <w:sz w:val="18"/>
          <w:szCs w:val="18"/>
          <w:highlight w:val="none"/>
        </w:rPr>
        <w:t xml:space="preserve">  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 xml:space="preserve"> 3、所有设备购买年限均应在5年以内（发票时间201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18"/>
          <w:szCs w:val="18"/>
          <w:highlight w:val="none"/>
        </w:rPr>
        <w:t>年1月1日至今）。</w:t>
      </w:r>
    </w:p>
    <w:p>
      <w:pPr>
        <w:pStyle w:val="2"/>
        <w:ind w:left="0" w:leftChars="0" w:firstLine="360" w:firstLineChars="200"/>
        <w:jc w:val="both"/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18"/>
          <w:szCs w:val="18"/>
          <w:highlight w:val="none"/>
          <w:lang w:val="en-US" w:eastAsia="zh-CN"/>
        </w:rPr>
        <w:t>4、</w:t>
      </w:r>
      <w:r>
        <w:rPr>
          <w:rFonts w:hint="default" w:ascii="宋体" w:hAnsi="宋体" w:eastAsia="宋体" w:cs="宋体"/>
          <w:b w:val="0"/>
          <w:b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自有设备需提供购买发票,投标人需保证发票真实有效，并在投标文件中提供的发票网上查验结果截图（国家税务总局全国增值税发票查验平台 https://inv-veri.chinatax.gov.cn）。若为虚假发票，作废标处理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 w:firstLine="361" w:firstLineChars="200"/>
        <w:jc w:val="both"/>
      </w:pP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eastAsia="zh-CN" w:bidi="ar"/>
        </w:rPr>
        <w:t>5、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必须在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eastAsia="zh-CN" w:bidi="ar"/>
        </w:rPr>
        <w:t>招标人</w:t>
      </w:r>
      <w:r>
        <w:rPr>
          <w:rFonts w:hint="default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内部代理处购买电动装载机及电动混凝土运输车</w:t>
      </w:r>
      <w:r>
        <w:rPr>
          <w:rFonts w:hint="eastAsia" w:ascii="宋体" w:hAnsi="宋体" w:eastAsia="宋体" w:cs="宋体"/>
          <w:b/>
          <w:bCs/>
          <w:i w:val="0"/>
          <w:iCs w:val="0"/>
          <w:color w:val="auto"/>
          <w:kern w:val="0"/>
          <w:sz w:val="18"/>
          <w:szCs w:val="18"/>
          <w:highlight w:val="none"/>
          <w:u w:val="none"/>
          <w:lang w:val="en-US" w:eastAsia="zh-CN" w:bidi="ar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13"/>
      <w:spacing w:line="14" w:lineRule="auto"/>
      <w:rPr>
        <w:rFonts w:ascii="宋体" w:hAnsi="宋体" w:cs="宋体"/>
        <w:sz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>
    <w:pPr>
      <w:pStyle w:val="13"/>
      <w:spacing w:line="14" w:lineRule="auto"/>
      <w:rPr>
        <w:rFonts w:ascii="宋体" w:hAnsi="宋体" w:cs="宋体"/>
        <w:sz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bottom w:val="none" w:color="auto" w:sz="0" w:space="1"/>
      </w:pBdr>
    </w:pPr>
  </w:p>
  <w:p>
    <w:pPr>
      <w:pStyle w:val="15"/>
      <w:pBdr>
        <w:bottom w:val="none" w:color="auto" w:sz="0" w:space="1"/>
      </w:pBdr>
    </w:pPr>
  </w:p>
  <w:p>
    <w:pPr>
      <w:pStyle w:val="15"/>
      <w:pBdr>
        <w:bottom w:val="none" w:color="auto" w:sz="0" w:space="1"/>
      </w:pBdr>
    </w:pPr>
  </w:p>
  <w:p>
    <w:pPr>
      <w:pStyle w:val="15"/>
      <w:pBdr>
        <w:bottom w:val="none" w:color="auto" w:sz="0" w:space="1"/>
      </w:pBdr>
    </w:pPr>
  </w:p>
  <w:p>
    <w:pPr>
      <w:pBdr>
        <w:bottom w:val="none" w:color="auto" w:sz="0" w:space="0"/>
      </w:pBdr>
      <w:spacing w:line="200" w:lineRule="exact"/>
      <w:ind w:left="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bottom w:val="none" w:color="auto" w:sz="0" w:space="1"/>
      </w:pBdr>
    </w:pPr>
  </w:p>
  <w:p>
    <w:pPr>
      <w:pStyle w:val="15"/>
      <w:pBdr>
        <w:bottom w:val="none" w:color="auto" w:sz="0" w:space="1"/>
      </w:pBdr>
    </w:pPr>
  </w:p>
  <w:p>
    <w:pPr>
      <w:pStyle w:val="15"/>
      <w:pBdr>
        <w:bottom w:val="none" w:color="auto" w:sz="0" w:space="1"/>
      </w:pBdr>
    </w:pPr>
  </w:p>
  <w:p>
    <w:pPr>
      <w:pBdr>
        <w:bottom w:val="none" w:color="auto" w:sz="0" w:space="0"/>
      </w:pBdr>
      <w:spacing w:line="200" w:lineRule="exac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D1BFB0"/>
    <w:multiLevelType w:val="multilevel"/>
    <w:tmpl w:val="92D1BFB0"/>
    <w:lvl w:ilvl="0" w:tentative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 w:ascii="宋体" w:hAnsi="宋体" w:eastAsia="宋体" w:cs="宋体"/>
      </w:rPr>
    </w:lvl>
    <w:lvl w:ilvl="2" w:tentative="0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pStyle w:val="8"/>
      <w:suff w:val="space"/>
      <w:lvlText w:val="%1.%2.%3.%4.%5.%6."/>
      <w:lvlJc w:val="left"/>
      <w:pPr>
        <w:tabs>
          <w:tab w:val="left" w:pos="420"/>
        </w:tabs>
        <w:ind w:left="1151" w:hanging="1151"/>
      </w:pPr>
      <w:rPr>
        <w:rFonts w:hint="default" w:ascii="宋体" w:hAnsi="宋体" w:eastAsia="宋体" w:cs="宋体"/>
      </w:rPr>
    </w:lvl>
    <w:lvl w:ilvl="6" w:tentative="0">
      <w:start w:val="1"/>
      <w:numFmt w:val="decimal"/>
      <w:pStyle w:val="9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pStyle w:val="10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E1C3DCF4"/>
    <w:multiLevelType w:val="multilevel"/>
    <w:tmpl w:val="E1C3DCF4"/>
    <w:lvl w:ilvl="0" w:tentative="0">
      <w:start w:val="1"/>
      <w:numFmt w:val="decimal"/>
      <w:pStyle w:val="3"/>
      <w:lvlText w:val="%1."/>
      <w:lvlJc w:val="left"/>
      <w:pPr>
        <w:ind w:left="432" w:hanging="432"/>
      </w:pPr>
      <w:rPr>
        <w:rFonts w:hint="default"/>
      </w:rPr>
    </w:lvl>
    <w:lvl w:ilvl="1" w:tentative="0">
      <w:start w:val="1"/>
      <w:numFmt w:val="decimal"/>
      <w:pStyle w:val="4"/>
      <w:suff w:val="nothing"/>
      <w:lvlText w:val="%1.%2."/>
      <w:lvlJc w:val="left"/>
      <w:pPr>
        <w:tabs>
          <w:tab w:val="left" w:pos="420"/>
        </w:tabs>
        <w:ind w:left="855" w:hanging="575"/>
      </w:pPr>
      <w:rPr>
        <w:rFonts w:hint="default" w:ascii="宋体" w:hAnsi="宋体" w:eastAsia="宋体" w:cs="宋体"/>
      </w:rPr>
    </w:lvl>
    <w:lvl w:ilvl="2" w:tentative="0">
      <w:start w:val="1"/>
      <w:numFmt w:val="decimal"/>
      <w:pStyle w:val="5"/>
      <w:suff w:val="nothing"/>
      <w:lvlText w:val="%1.%2.%3."/>
      <w:lvlJc w:val="left"/>
      <w:pPr>
        <w:tabs>
          <w:tab w:val="left" w:pos="420"/>
        </w:tabs>
        <w:ind w:left="720" w:hanging="720"/>
      </w:pPr>
      <w:rPr>
        <w:rFonts w:hint="default"/>
      </w:rPr>
    </w:lvl>
    <w:lvl w:ilvl="3" w:tentative="0">
      <w:start w:val="1"/>
      <w:numFmt w:val="decimal"/>
      <w:pStyle w:val="6"/>
      <w:lvlText w:val="%1.%2.%3.%4."/>
      <w:lvlJc w:val="left"/>
      <w:pPr>
        <w:ind w:left="864" w:hanging="864"/>
      </w:pPr>
      <w:rPr>
        <w:rFonts w:hint="default" w:ascii="宋体" w:hAnsi="宋体" w:eastAsia="宋体" w:cs="宋体"/>
      </w:rPr>
    </w:lvl>
    <w:lvl w:ilvl="4" w:tentative="0">
      <w:start w:val="1"/>
      <w:numFmt w:val="decimal"/>
      <w:pStyle w:val="7"/>
      <w:suff w:val="nothing"/>
      <w:lvlText w:val="%1.%2.%3.%4.%5."/>
      <w:lvlJc w:val="left"/>
      <w:pPr>
        <w:tabs>
          <w:tab w:val="left" w:pos="420"/>
        </w:tabs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pStyle w:val="11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2">
    <w:nsid w:val="2712C11C"/>
    <w:multiLevelType w:val="singleLevel"/>
    <w:tmpl w:val="2712C11C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RkODgyNzVmMGJiMzFlOTA2Yzg0MDJmMTBjYjBhYTMifQ=="/>
  </w:docVars>
  <w:rsids>
    <w:rsidRoot w:val="072041DC"/>
    <w:rsid w:val="023F66B6"/>
    <w:rsid w:val="072041DC"/>
    <w:rsid w:val="0A955FBF"/>
    <w:rsid w:val="0CB77C6F"/>
    <w:rsid w:val="0F7A5C5F"/>
    <w:rsid w:val="1552497A"/>
    <w:rsid w:val="1CB8263D"/>
    <w:rsid w:val="1FED3E66"/>
    <w:rsid w:val="20EB165A"/>
    <w:rsid w:val="219C6373"/>
    <w:rsid w:val="22D16DA9"/>
    <w:rsid w:val="256A598F"/>
    <w:rsid w:val="25707BA7"/>
    <w:rsid w:val="26391BF7"/>
    <w:rsid w:val="266D5F23"/>
    <w:rsid w:val="27A8791F"/>
    <w:rsid w:val="31E00C15"/>
    <w:rsid w:val="3E79674B"/>
    <w:rsid w:val="44226816"/>
    <w:rsid w:val="458833E1"/>
    <w:rsid w:val="497D7FF4"/>
    <w:rsid w:val="4A332152"/>
    <w:rsid w:val="4CD84617"/>
    <w:rsid w:val="52970D24"/>
    <w:rsid w:val="56274ABA"/>
    <w:rsid w:val="56610DE5"/>
    <w:rsid w:val="566146FD"/>
    <w:rsid w:val="5DCF6A3C"/>
    <w:rsid w:val="5FB31C2D"/>
    <w:rsid w:val="689A7042"/>
    <w:rsid w:val="69C17C2A"/>
    <w:rsid w:val="6E577ADC"/>
    <w:rsid w:val="7CC6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numPr>
        <w:ilvl w:val="0"/>
        <w:numId w:val="1"/>
      </w:numPr>
      <w:spacing w:line="240" w:lineRule="auto"/>
      <w:ind w:left="432" w:hanging="432" w:firstLineChars="0"/>
      <w:jc w:val="left"/>
      <w:outlineLvl w:val="0"/>
    </w:pPr>
    <w:rPr>
      <w:rFonts w:ascii="仿宋_GB2312" w:hAnsi="仿宋_GB2312" w:eastAsia="宋体"/>
      <w:b/>
      <w:sz w:val="28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adjustRightInd w:val="0"/>
      <w:spacing w:line="560" w:lineRule="exact"/>
      <w:ind w:left="278" w:leftChars="0" w:right="0" w:rightChars="0" w:firstLine="0" w:firstLineChars="0"/>
      <w:jc w:val="left"/>
      <w:outlineLvl w:val="1"/>
    </w:pPr>
    <w:rPr>
      <w:rFonts w:ascii="Arial" w:hAnsi="Arial" w:eastAsia="宋体"/>
      <w:b/>
      <w:bCs/>
      <w:sz w:val="28"/>
      <w:szCs w:val="32"/>
    </w:rPr>
  </w:style>
  <w:style w:type="paragraph" w:styleId="5">
    <w:name w:val="heading 3"/>
    <w:basedOn w:val="1"/>
    <w:next w:val="1"/>
    <w:link w:val="19"/>
    <w:semiHidden/>
    <w:unhideWhenUsed/>
    <w:qFormat/>
    <w:uiPriority w:val="0"/>
    <w:pPr>
      <w:keepNext/>
      <w:keepLines w:val="0"/>
      <w:widowControl/>
      <w:numPr>
        <w:ilvl w:val="2"/>
        <w:numId w:val="1"/>
      </w:numPr>
      <w:topLinePunct/>
      <w:spacing w:line="560" w:lineRule="exact"/>
      <w:ind w:left="720" w:hanging="720" w:firstLineChars="0"/>
      <w:jc w:val="left"/>
      <w:outlineLvl w:val="2"/>
    </w:pPr>
    <w:rPr>
      <w:rFonts w:ascii="宋体" w:hAnsi="宋体" w:eastAsia="宋体"/>
      <w:b/>
      <w:bCs/>
      <w:snapToGrid w:val="0"/>
      <w:sz w:val="28"/>
      <w:szCs w:val="32"/>
    </w:rPr>
  </w:style>
  <w:style w:type="paragraph" w:styleId="6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paragraph" w:styleId="7">
    <w:name w:val="heading 5"/>
    <w:basedOn w:val="1"/>
    <w:next w:val="8"/>
    <w:link w:val="20"/>
    <w:semiHidden/>
    <w:unhideWhenUsed/>
    <w:qFormat/>
    <w:uiPriority w:val="0"/>
    <w:pPr>
      <w:keepNext/>
      <w:keepLines/>
      <w:widowControl/>
      <w:numPr>
        <w:ilvl w:val="4"/>
        <w:numId w:val="1"/>
      </w:numPr>
      <w:bidi w:val="0"/>
      <w:adjustRightInd w:val="0"/>
      <w:snapToGrid/>
      <w:spacing w:line="360" w:lineRule="exact"/>
      <w:ind w:left="1008" w:hanging="1008" w:firstLineChars="0"/>
      <w:jc w:val="left"/>
      <w:outlineLvl w:val="4"/>
    </w:pPr>
    <w:rPr>
      <w:rFonts w:ascii="宋体" w:hAnsi="宋体" w:eastAsia="宋体" w:cs="宋体"/>
      <w:b/>
      <w:bCs/>
      <w:kern w:val="0"/>
      <w:sz w:val="24"/>
      <w:szCs w:val="28"/>
    </w:rPr>
  </w:style>
  <w:style w:type="paragraph" w:styleId="8">
    <w:name w:val="heading 6"/>
    <w:basedOn w:val="7"/>
    <w:next w:val="9"/>
    <w:semiHidden/>
    <w:unhideWhenUsed/>
    <w:qFormat/>
    <w:uiPriority w:val="0"/>
    <w:pPr>
      <w:numPr>
        <w:ilvl w:val="5"/>
        <w:numId w:val="2"/>
      </w:numPr>
      <w:ind w:left="1151" w:hanging="1151" w:firstLineChars="0"/>
      <w:outlineLvl w:val="5"/>
    </w:pPr>
    <w:rPr>
      <w:b w:val="0"/>
      <w:bCs w:val="0"/>
      <w:spacing w:val="20"/>
      <w:szCs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2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2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3" w:hanging="1583"/>
      <w:outlineLvl w:val="8"/>
    </w:pPr>
    <w:rPr>
      <w:rFonts w:ascii="Arial" w:hAnsi="Arial" w:eastAsia="黑体"/>
      <w:sz w:val="21"/>
    </w:rPr>
  </w:style>
  <w:style w:type="character" w:default="1" w:styleId="17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styleId="12">
    <w:name w:val="annotation text"/>
    <w:basedOn w:val="1"/>
    <w:semiHidden/>
    <w:qFormat/>
    <w:uiPriority w:val="99"/>
    <w:pPr>
      <w:jc w:val="left"/>
    </w:pPr>
  </w:style>
  <w:style w:type="paragraph" w:styleId="13">
    <w:name w:val="Body Text"/>
    <w:basedOn w:val="1"/>
    <w:next w:val="1"/>
    <w:qFormat/>
    <w:uiPriority w:val="0"/>
    <w:pPr>
      <w:spacing w:after="120"/>
    </w:pPr>
    <w:rPr>
      <w:szCs w:val="24"/>
    </w:rPr>
  </w:style>
  <w:style w:type="paragraph" w:styleId="1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8">
    <w:name w:val="Hyperlink"/>
    <w:qFormat/>
    <w:uiPriority w:val="99"/>
    <w:rPr>
      <w:color w:val="0000FF"/>
      <w:u w:val="single"/>
    </w:rPr>
  </w:style>
  <w:style w:type="character" w:customStyle="1" w:styleId="19">
    <w:name w:val="标题 3 字符"/>
    <w:link w:val="5"/>
    <w:uiPriority w:val="0"/>
    <w:rPr>
      <w:rFonts w:ascii="宋体" w:hAnsi="宋体" w:eastAsia="宋体"/>
      <w:b/>
      <w:bCs/>
      <w:snapToGrid w:val="0"/>
      <w:sz w:val="28"/>
      <w:szCs w:val="32"/>
      <w:lang w:val="en-US" w:eastAsia="zh-CN" w:bidi="ar-SA"/>
    </w:rPr>
  </w:style>
  <w:style w:type="character" w:customStyle="1" w:styleId="20">
    <w:name w:val="标题 5 Char"/>
    <w:link w:val="7"/>
    <w:uiPriority w:val="0"/>
    <w:rPr>
      <w:rFonts w:ascii="宋体" w:hAnsi="宋体" w:eastAsia="宋体" w:cs="宋体"/>
      <w:b/>
      <w:bCs/>
      <w:kern w:val="0"/>
      <w:sz w:val="24"/>
      <w:szCs w:val="28"/>
    </w:rPr>
  </w:style>
  <w:style w:type="paragraph" w:customStyle="1" w:styleId="21">
    <w:name w:val="表内（朱小波）"/>
    <w:basedOn w:val="1"/>
    <w:link w:val="22"/>
    <w:semiHidden/>
    <w:qFormat/>
    <w:uiPriority w:val="0"/>
    <w:pPr>
      <w:topLinePunct/>
      <w:spacing w:line="320" w:lineRule="exact"/>
      <w:ind w:firstLine="0" w:firstLineChars="0"/>
      <w:jc w:val="center"/>
    </w:pPr>
    <w:rPr>
      <w:rFonts w:ascii="仿宋" w:hAnsi="仿宋" w:eastAsia="宋体"/>
      <w:sz w:val="21"/>
      <w:szCs w:val="28"/>
    </w:rPr>
  </w:style>
  <w:style w:type="character" w:customStyle="1" w:styleId="22">
    <w:name w:val="表内文字 Char2 Char Char Char"/>
    <w:link w:val="21"/>
    <w:qFormat/>
    <w:uiPriority w:val="0"/>
    <w:rPr>
      <w:rFonts w:ascii="仿宋" w:hAnsi="仿宋" w:eastAsia="宋体"/>
      <w:kern w:val="2"/>
      <w:sz w:val="21"/>
      <w:szCs w:val="28"/>
      <w:lang w:val="en-US" w:eastAsia="zh-CN" w:bidi="ar-SA"/>
    </w:rPr>
  </w:style>
  <w:style w:type="paragraph" w:customStyle="1" w:styleId="23">
    <w:name w:val="图框"/>
    <w:basedOn w:val="1"/>
    <w:uiPriority w:val="0"/>
    <w:pPr>
      <w:spacing w:line="240" w:lineRule="auto"/>
      <w:ind w:firstLine="0" w:firstLineChars="0"/>
      <w:jc w:val="center"/>
    </w:pPr>
    <w:rPr>
      <w:rFonts w:hint="eastAsia" w:ascii="宋体" w:hAnsi="宋体" w:eastAsia="宋体"/>
      <w:sz w:val="21"/>
      <w:szCs w:val="21"/>
    </w:rPr>
  </w:style>
  <w:style w:type="paragraph" w:customStyle="1" w:styleId="24">
    <w:name w:val="图框文字"/>
    <w:basedOn w:val="1"/>
    <w:uiPriority w:val="0"/>
    <w:pPr>
      <w:autoSpaceDE w:val="0"/>
      <w:autoSpaceDN w:val="0"/>
      <w:spacing w:line="0" w:lineRule="atLeast"/>
      <w:ind w:firstLine="0" w:firstLineChars="0"/>
      <w:jc w:val="center"/>
    </w:pPr>
    <w:rPr>
      <w:rFonts w:ascii="仿宋" w:hAnsi="仿宋" w:eastAsia="宋体"/>
      <w:sz w:val="24"/>
    </w:rPr>
  </w:style>
  <w:style w:type="character" w:customStyle="1" w:styleId="25">
    <w:name w:val="图表文字 Char"/>
    <w:link w:val="26"/>
    <w:qFormat/>
    <w:uiPriority w:val="0"/>
    <w:rPr>
      <w:rFonts w:ascii="仿宋" w:hAnsi="仿宋" w:eastAsia="宋体"/>
      <w:kern w:val="2"/>
      <w:sz w:val="24"/>
      <w:szCs w:val="24"/>
      <w:lang w:val="en-US" w:eastAsia="zh-CN" w:bidi="ar-SA"/>
    </w:rPr>
  </w:style>
  <w:style w:type="paragraph" w:customStyle="1" w:styleId="26">
    <w:name w:val="朱图框文字"/>
    <w:basedOn w:val="1"/>
    <w:link w:val="25"/>
    <w:qFormat/>
    <w:uiPriority w:val="0"/>
    <w:pPr>
      <w:autoSpaceDE w:val="0"/>
      <w:autoSpaceDN w:val="0"/>
      <w:spacing w:line="0" w:lineRule="atLeast"/>
      <w:ind w:firstLine="0" w:firstLineChars="0"/>
      <w:jc w:val="center"/>
    </w:pPr>
    <w:rPr>
      <w:rFonts w:ascii="仿宋" w:hAnsi="仿宋" w:eastAsia="宋体"/>
      <w:sz w:val="24"/>
    </w:rPr>
  </w:style>
  <w:style w:type="paragraph" w:customStyle="1" w:styleId="27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28">
    <w:name w:val="段落正文"/>
    <w:qFormat/>
    <w:uiPriority w:val="0"/>
    <w:pPr>
      <w:spacing w:line="360" w:lineRule="auto"/>
      <w:ind w:firstLine="200" w:firstLineChars="200"/>
    </w:pPr>
    <w:rPr>
      <w:rFonts w:ascii="Arial" w:hAnsi="Arial" w:eastAsia="宋体" w:cs="Times New Roman"/>
      <w:bCs/>
      <w:kern w:val="2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4199</Words>
  <Characters>4757</Characters>
  <Lines>0</Lines>
  <Paragraphs>0</Paragraphs>
  <TotalTime>37</TotalTime>
  <ScaleCrop>false</ScaleCrop>
  <LinksUpToDate>false</LinksUpToDate>
  <CharactersWithSpaces>4864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2022-12-02T07:13:00Z</dcterms:created>
  <dc:creator>朱小波</dc:creator>
  <cp:lastModifiedBy>露露妹儿～</cp:lastModifiedBy>
  <dcterms:modified xsi:type="dcterms:W3CDTF">2022-12-02T08:27:42Z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D66E177B37664441B286A44E59441585</vt:lpwstr>
  </property>
</Properties>
</file>