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ind w:firstLine="0"/>
        <w:outlineLvl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附表一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四川交建集团科研基地项目土石方、基坑支护、降排水、临建工程施工分包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合同段划分、工程规模、工期统计表</w:t>
      </w:r>
    </w:p>
    <w:tbl>
      <w:tblPr>
        <w:tblStyle w:val="10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320"/>
        <w:gridCol w:w="1387"/>
        <w:gridCol w:w="3294"/>
        <w:gridCol w:w="2930"/>
        <w:gridCol w:w="39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标段名称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329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施工内容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工期</w:t>
            </w:r>
          </w:p>
        </w:tc>
        <w:tc>
          <w:tcPr>
            <w:tcW w:w="39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备注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KYJD-1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施工分包</w:t>
            </w:r>
          </w:p>
        </w:tc>
        <w:tc>
          <w:tcPr>
            <w:tcW w:w="3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土石方、基坑支护、降排水工程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范围内的开挖土方约196885.6m³，连砂石213512.03m³，支护桩约350根，降水井30口，截水沟750m，沉砂池6个等全部相关内容及甲方提供材料外的所有材料。                          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施工图上包含的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项目驻地、民工生活区建设的集装箱、板房、绿化、给排水、场地硬化、供配电安装等所有施工内容。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3、1#2#地块现场临水临电包含消防管网、洗车槽、沉淀池、路面硬化及其他零星工程。（详见施工图纸）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150日历天</w:t>
            </w:r>
          </w:p>
        </w:tc>
        <w:tc>
          <w:tcPr>
            <w:tcW w:w="3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本次招标工程数量为暂定，最终工程量以现行计量计价规范、审计、业主、招标人确认的量为准（具体进场时间及各分项工程开工时间最终以招标人要求为准)。</w:t>
            </w:r>
          </w:p>
        </w:tc>
      </w:tr>
    </w:tbl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12"/>
        <w:rPr>
          <w:rFonts w:hint="eastAsia"/>
          <w:color w:val="auto"/>
          <w:highlight w:val="none"/>
          <w:lang w:val="en-US" w:eastAsia="zh-CN"/>
        </w:rPr>
      </w:pPr>
    </w:p>
    <w:p>
      <w:pPr>
        <w:pStyle w:val="3"/>
        <w:rPr>
          <w:rFonts w:hint="eastAsia"/>
          <w:color w:val="auto"/>
          <w:highlight w:val="none"/>
        </w:rPr>
        <w:sectPr>
          <w:pgSz w:w="16838" w:h="11911" w:orient="landscape"/>
          <w:pgMar w:top="1100" w:right="1599" w:bottom="1179" w:left="1298" w:header="0" w:footer="56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1" w:charSpace="0"/>
        </w:sectPr>
      </w:pPr>
      <w:bookmarkStart w:id="0" w:name="_GoBack"/>
      <w:bookmarkEnd w:id="0"/>
    </w:p>
    <w:p>
      <w:pPr>
        <w:pStyle w:val="12"/>
        <w:ind w:firstLine="0"/>
        <w:jc w:val="left"/>
        <w:outlineLvl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附表二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四川交建集团科研基地项目土石方、基坑支护、降排水、临建工程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施工企业资质等级要求、业绩基本要求</w:t>
      </w:r>
    </w:p>
    <w:p>
      <w:pPr>
        <w:pStyle w:val="1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/>
          <w:highlight w:val="none"/>
        </w:rPr>
      </w:pPr>
    </w:p>
    <w:tbl>
      <w:tblPr>
        <w:tblStyle w:val="10"/>
        <w:tblW w:w="538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1046"/>
        <w:gridCol w:w="1896"/>
        <w:gridCol w:w="3428"/>
        <w:gridCol w:w="138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  <w:jc w:val="center"/>
        </w:trPr>
        <w:tc>
          <w:tcPr>
            <w:tcW w:w="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分段名称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ind w:firstLine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特征</w:t>
            </w:r>
          </w:p>
        </w:tc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3"/>
              <w:kinsoku w:val="0"/>
              <w:overflowPunct w:val="0"/>
              <w:spacing w:line="239" w:lineRule="exact"/>
              <w:ind w:left="426" w:right="344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施工企业资质等级要求</w:t>
            </w:r>
          </w:p>
        </w:tc>
        <w:tc>
          <w:tcPr>
            <w:tcW w:w="1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3"/>
              <w:kinsoku w:val="0"/>
              <w:overflowPunct w:val="0"/>
              <w:spacing w:line="239" w:lineRule="exact"/>
              <w:ind w:left="426" w:right="344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业绩基本要求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ind w:firstLine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4" w:hRule="atLeast"/>
          <w:jc w:val="center"/>
        </w:trPr>
        <w:tc>
          <w:tcPr>
            <w:tcW w:w="6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9"/>
              <w:spacing w:line="240" w:lineRule="auto"/>
              <w:ind w:left="0" w:leftChars="0" w:firstLine="0" w:firstLineChars="0"/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KYJD-1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施工分包</w:t>
            </w:r>
          </w:p>
        </w:tc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具有政府主管部门颁发的地基与基础工程专业承包壹级资质。</w:t>
            </w:r>
          </w:p>
        </w:tc>
        <w:tc>
          <w:tcPr>
            <w:tcW w:w="1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具备一个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近五年内（自201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月1日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起至今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具有一个在建或已完工的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房屋建筑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地基与基础工程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施工业绩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包括劳务分包、专业分包、施工总承包业绩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以提供的合同协议书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签订时间或竣工验收报告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为准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1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1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1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1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附表三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四川交建集团科研基地项目土石方、基坑支护、降排水、临建工程施工分包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KYJD-1拟投入人员配置表(最低要求）</w:t>
      </w:r>
    </w:p>
    <w:p>
      <w:pPr>
        <w:pStyle w:val="12"/>
        <w:ind w:left="0" w:leftChars="0" w:firstLine="0" w:firstLineChars="0"/>
        <w:rPr>
          <w:rFonts w:hint="eastAsia"/>
          <w:highlight w:val="none"/>
          <w:lang w:val="en-US" w:eastAsia="zh-CN"/>
        </w:rPr>
      </w:pPr>
    </w:p>
    <w:p>
      <w:pPr>
        <w:pStyle w:val="12"/>
        <w:ind w:left="0" w:leftChars="0" w:firstLine="0" w:firstLineChars="0"/>
        <w:rPr>
          <w:rFonts w:hint="eastAsia"/>
          <w:highlight w:val="none"/>
          <w:lang w:val="en-US" w:eastAsia="zh-CN"/>
        </w:rPr>
      </w:pPr>
    </w:p>
    <w:tbl>
      <w:tblPr>
        <w:tblStyle w:val="10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1363"/>
        <w:gridCol w:w="1987"/>
        <w:gridCol w:w="2796"/>
        <w:gridCol w:w="23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人员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工作任务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人数/队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项目负责人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生产管理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项目技术负责人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技术管理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安全负责人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安全管理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须具备有效的安全生产考核合格C证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技术员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负责现场测量、放线、施工管理、记录表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内业人员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工程资料编制、填写、整理、收集、结算等相关工作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</w:p>
        </w:tc>
      </w:tr>
    </w:tbl>
    <w:p>
      <w:pPr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</w:rPr>
      </w:pPr>
    </w:p>
    <w:p>
      <w:pPr>
        <w:widowControl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注：</w:t>
      </w:r>
    </w:p>
    <w:p>
      <w:pPr>
        <w:widowControl/>
        <w:ind w:firstLine="420" w:firstLineChars="200"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1、主要人员的最低要求，投标人应根据施工需要或招标人的要求增加相关人员。</w:t>
      </w:r>
    </w:p>
    <w:p>
      <w:pPr>
        <w:widowControl/>
        <w:ind w:firstLine="420" w:firstLineChars="200"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2、如因投标人的原因(除不可抗拒因素外)更换上述主要人员（项目负责人、现场技术员、安全员），须报请招标人批准，更换人员的资质不能低于招标文件要求，自行更换主要负责人的，对投标人按每人次处以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50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万元人民币违约金。</w:t>
      </w:r>
    </w:p>
    <w:p>
      <w:pPr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3、相关管理人员及技术人员必须在岗，有特殊情况离岗必须向项目部请假并得到批准。</w:t>
      </w:r>
    </w:p>
    <w:p>
      <w:pPr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>
      <w:pPr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>
      <w:pPr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>
      <w:pPr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>
      <w:pPr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>
      <w:pPr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>
      <w:pPr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>
      <w:pPr>
        <w:jc w:val="left"/>
        <w:rPr>
          <w:rFonts w:hint="default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附表四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四川交建集团科研基地项目土石方、基坑支护、降排水、临建工程施工分包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KYJD-1拟投入设备明细表(最低要求）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10"/>
        <w:tblW w:w="8532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436"/>
        <w:gridCol w:w="1060"/>
        <w:gridCol w:w="671"/>
        <w:gridCol w:w="833"/>
        <w:gridCol w:w="1017"/>
        <w:gridCol w:w="1550"/>
        <w:gridCol w:w="617"/>
        <w:gridCol w:w="6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68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43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机械设备名称</w:t>
            </w: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67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85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155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每增加一台自有设备加分值</w:t>
            </w:r>
          </w:p>
        </w:tc>
        <w:tc>
          <w:tcPr>
            <w:tcW w:w="61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加分上限</w:t>
            </w:r>
          </w:p>
        </w:tc>
        <w:tc>
          <w:tcPr>
            <w:tcW w:w="66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68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3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总数量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自有设备</w:t>
            </w:r>
          </w:p>
        </w:tc>
        <w:tc>
          <w:tcPr>
            <w:tcW w:w="15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1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装载机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5</w:t>
            </w: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0型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台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2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挖掘机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  <w:lang w:val="en-US" w:eastAsia="zh-CN"/>
              </w:rPr>
              <w:t>260</w:t>
            </w: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型</w:t>
            </w:r>
            <w:r>
              <w:rPr>
                <w:rFonts w:hint="eastAsia" w:ascii="宋体" w:hAnsi="宋体"/>
                <w:color w:val="000000"/>
                <w:szCs w:val="24"/>
                <w:highlight w:val="none"/>
                <w:lang w:val="en-US" w:eastAsia="zh-CN"/>
              </w:rPr>
              <w:t>及以上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台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3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挖掘机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6</w:t>
            </w:r>
            <w:r>
              <w:rPr>
                <w:rFonts w:ascii="宋体" w:hAnsi="宋体"/>
                <w:color w:val="000000"/>
                <w:szCs w:val="24"/>
                <w:highlight w:val="none"/>
              </w:rPr>
              <w:t>0</w:t>
            </w: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型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3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4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Cs w:val="24"/>
                <w:highlight w:val="none"/>
                <w:lang w:val="en-US" w:eastAsia="zh-CN"/>
              </w:rPr>
              <w:t>自卸汽车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2</w:t>
            </w:r>
            <w:r>
              <w:rPr>
                <w:rFonts w:hint="eastAsia" w:ascii="宋体" w:hAnsi="宋体"/>
                <w:color w:val="000000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</w:rPr>
              <w:t>吨</w:t>
            </w:r>
          </w:p>
        </w:tc>
        <w:tc>
          <w:tcPr>
            <w:tcW w:w="67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4"/>
                <w:highlight w:val="none"/>
                <w:lang w:val="en-US" w:eastAsia="zh-CN"/>
              </w:rPr>
              <w:t>辆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5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旋挖机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b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6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  <w:lang w:val="en-US" w:eastAsia="zh-CN"/>
              </w:rPr>
              <w:t>注浆机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b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7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吊车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华文中宋"/>
                <w:color w:val="000000"/>
                <w:szCs w:val="24"/>
                <w:highlight w:val="none"/>
              </w:rPr>
              <w:t>25T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b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8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华文中宋"/>
                <w:color w:val="000000"/>
                <w:szCs w:val="24"/>
                <w:highlight w:val="none"/>
              </w:rPr>
              <w:t>钢筋调直机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华文中宋"/>
                <w:color w:val="000000"/>
                <w:szCs w:val="24"/>
                <w:highlight w:val="none"/>
              </w:rPr>
              <w:t>JK66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b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9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华文中宋"/>
                <w:color w:val="000000"/>
                <w:szCs w:val="24"/>
                <w:highlight w:val="none"/>
              </w:rPr>
              <w:t>钢筋弯曲机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b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10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钢筋断料机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GQ40-21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b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11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电焊机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AX300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b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12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空压机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12m</w:t>
            </w:r>
            <w:r>
              <w:rPr>
                <w:rFonts w:hint="eastAsia" w:hAnsi="宋体"/>
                <w:b w:val="0"/>
                <w:color w:val="000000"/>
                <w:szCs w:val="24"/>
                <w:highlight w:val="none"/>
                <w:vertAlign w:val="superscript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b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13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砼喷射机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PZ-5B</w:t>
            </w: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（干喷）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b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1</w:t>
            </w: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4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柴油发电机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250KW/h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b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15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发电机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KW/h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b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16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冲击钻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手提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b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把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17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抽水泵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口径100mm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b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  <w:lang w:val="en-US" w:eastAsia="zh-CN"/>
              </w:rPr>
              <w:t>钻机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  <w:lang w:val="en-US" w:eastAsia="zh-CN"/>
              </w:rPr>
              <w:t>HM90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b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套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  <w:lang w:val="en-US" w:eastAsia="zh-CN"/>
              </w:rPr>
              <w:t>钻井机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  <w:lang w:val="en-US" w:eastAsia="zh-CN"/>
              </w:rPr>
              <w:t>--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b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default" w:hAnsi="宋体"/>
                <w:b w:val="0"/>
                <w:color w:val="000000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/>
                <w:highlight w:val="none"/>
                <w:shd w:val="clear" w:color="auto" w:fill="auto"/>
                <w:lang w:val="en-US" w:eastAsia="zh-CN"/>
              </w:rPr>
              <w:t>压路机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25T及以上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jc w:val="center"/>
              <w:rPr>
                <w:rFonts w:hint="default" w:hAnsi="宋体"/>
                <w:b w:val="0"/>
                <w:color w:val="000000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kern w:val="2"/>
                <w:sz w:val="21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洒水车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kern w:val="2"/>
                <w:sz w:val="21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</w:rPr>
              <w:t>8m³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</w:tbl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注：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jc w:val="left"/>
        <w:textAlignment w:val="center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2、本表中的总数量为承包人中标后向发包人承诺的投入最低设备要求，并以书面形式纳入合同附件。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3、所有设备购买年限均应在5年以内（发票时间201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年1月1日至今）。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1" w:firstLineChars="100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</w:pPr>
      <w:r>
        <w:rPr>
          <w:rFonts w:hint="eastAsia"/>
          <w:b/>
          <w:bCs/>
          <w:color w:val="auto"/>
          <w:sz w:val="21"/>
          <w:szCs w:val="21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自有设备需提供购买发票或公证机关出具的公证书。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 xml:space="preserve">  5、若投标人提供的机械设备功率、规格大于招标人要求的，视作满足基本条件及加分条件。</w:t>
      </w:r>
    </w:p>
    <w:p>
      <w:pPr>
        <w:pStyle w:val="2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</w:pPr>
    </w:p>
    <w:p>
      <w:pPr>
        <w:pStyle w:val="2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6E9A93"/>
    <w:multiLevelType w:val="singleLevel"/>
    <w:tmpl w:val="666E9A9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zNjIyZmEyOTc4MjQ3MGNkYzk5M2U4ODdkMDcyZjQifQ=="/>
  </w:docVars>
  <w:rsids>
    <w:rsidRoot w:val="68C52E52"/>
    <w:rsid w:val="68C5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4"/>
    <w:qFormat/>
    <w:uiPriority w:val="9"/>
    <w:pPr>
      <w:keepNext/>
      <w:keepLines/>
      <w:spacing w:before="340" w:after="330" w:line="576" w:lineRule="auto"/>
      <w:jc w:val="center"/>
      <w:outlineLvl w:val="0"/>
    </w:pPr>
    <w:rPr>
      <w:rFonts w:ascii="Times New Roman" w:hAnsi="Times New Roman" w:eastAsia="宋体"/>
      <w:b/>
      <w:kern w:val="44"/>
      <w:sz w:val="48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5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szCs w:val="24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Body Text First Indent 2"/>
    <w:basedOn w:val="6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1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customStyle="1" w:styleId="13">
    <w:name w:val="Table Paragraph"/>
    <w:basedOn w:val="1"/>
    <w:qFormat/>
    <w:uiPriority w:val="1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2022-12-19T01:29:00Z</dcterms:created>
  <dc:creator>APOLOGY</dc:creator>
  <cp:lastModifiedBy>APOLOGY</cp:lastModifiedBy>
  <dcterms:modified xsi:type="dcterms:W3CDTF">2022-12-19T01:58:07Z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B7B08353A6684803B906DD70CC285FBD</vt:lpwstr>
  </property>
</Properties>
</file>