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firstLine="0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附表一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val="en-US" w:bidi="zh-CN"/>
        </w:rPr>
        <w:t>四川交建“总部基地”施工临时用电工程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bidi="zh-CN"/>
        </w:rPr>
        <w:t>项目</w:t>
      </w:r>
    </w:p>
    <w:p>
      <w:pPr>
        <w:pStyle w:val="10"/>
        <w:ind w:firstLine="0"/>
        <w:jc w:val="center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10"/>
        <w:ind w:firstLine="0"/>
        <w:jc w:val="center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工程规模、工期统计表</w:t>
      </w:r>
    </w:p>
    <w:tbl>
      <w:tblPr>
        <w:tblStyle w:val="8"/>
        <w:tblW w:w="10375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1210"/>
        <w:gridCol w:w="665"/>
        <w:gridCol w:w="2689"/>
        <w:gridCol w:w="723"/>
        <w:gridCol w:w="45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分段名称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施工内容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工期</w:t>
            </w:r>
          </w:p>
        </w:tc>
        <w:tc>
          <w:tcPr>
            <w:tcW w:w="458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临电工程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专业分包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从供电局下发的供电方案中指定的下线杆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节点至箱变末端，包含箱变的基础、箱变安装调试通电移交。具体施工内容详见图纸及清单。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日历天</w:t>
            </w:r>
          </w:p>
        </w:tc>
        <w:tc>
          <w:tcPr>
            <w:tcW w:w="4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本次招标为固定单价合同，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工程数量为暂定，最终工程量以现行计量计价规范、审计、业主、招标人确认的量为准（具体进场时间及各分项工程开工时间最终以招标人要求为准)。</w:t>
            </w:r>
          </w:p>
        </w:tc>
      </w:tr>
    </w:tbl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rPr>
          <w:rFonts w:hint="eastAsia" w:ascii="宋体" w:hAnsi="宋体" w:cs="宋体"/>
          <w:b/>
          <w:bCs/>
          <w:kern w:val="0"/>
          <w:sz w:val="28"/>
          <w:szCs w:val="28"/>
        </w:rPr>
      </w:pPr>
    </w:p>
    <w:p>
      <w:pPr>
        <w:pStyle w:val="10"/>
        <w:rPr>
          <w:rFonts w:hint="eastAsia"/>
        </w:rPr>
      </w:pPr>
      <w:r>
        <w:br w:type="page"/>
      </w:r>
    </w:p>
    <w:p>
      <w:pPr>
        <w:pStyle w:val="10"/>
        <w:ind w:firstLine="0"/>
        <w:jc w:val="left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附表二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val="en-US" w:bidi="zh-CN"/>
        </w:rPr>
        <w:t>四川交建“总部基地”施工临时用电工程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bidi="zh-CN"/>
        </w:rPr>
        <w:t>项目</w:t>
      </w:r>
    </w:p>
    <w:p>
      <w:pPr>
        <w:pStyle w:val="10"/>
        <w:ind w:firstLine="0"/>
        <w:jc w:val="center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10"/>
        <w:ind w:firstLine="0"/>
        <w:jc w:val="center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施工企业资质等级要求、业绩基本要求</w:t>
      </w:r>
    </w:p>
    <w:p>
      <w:pPr>
        <w:pStyle w:val="10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/>
        </w:rPr>
      </w:pPr>
    </w:p>
    <w:tbl>
      <w:tblPr>
        <w:tblStyle w:val="8"/>
        <w:tblW w:w="4992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  <w:gridCol w:w="974"/>
        <w:gridCol w:w="2185"/>
        <w:gridCol w:w="3429"/>
        <w:gridCol w:w="73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  <w:jc w:val="center"/>
        </w:trPr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分段名称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特征</w:t>
            </w:r>
          </w:p>
        </w:tc>
        <w:tc>
          <w:tcPr>
            <w:tcW w:w="1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1"/>
              <w:kinsoku w:val="0"/>
              <w:overflowPunct w:val="0"/>
              <w:spacing w:line="239" w:lineRule="exact"/>
              <w:ind w:left="426" w:right="34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施工企业资质等级要求</w:t>
            </w:r>
          </w:p>
        </w:tc>
        <w:tc>
          <w:tcPr>
            <w:tcW w:w="20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1"/>
              <w:kinsoku w:val="0"/>
              <w:overflowPunct w:val="0"/>
              <w:spacing w:line="239" w:lineRule="exact"/>
              <w:ind w:left="426" w:right="34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业绩基本要求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5" w:hRule="atLeast"/>
          <w:jc w:val="center"/>
        </w:trPr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临电工程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分包</w:t>
            </w:r>
          </w:p>
        </w:tc>
        <w:tc>
          <w:tcPr>
            <w:tcW w:w="1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具有政府主管部门颁发的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输变电工程专业承包叁级及以上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等级资质。</w:t>
            </w:r>
          </w:p>
        </w:tc>
        <w:tc>
          <w:tcPr>
            <w:tcW w:w="20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具备一个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近五年内（自201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月1日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起至今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具有一个在建或已完工的电力安装工程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以提供的合同协议书为准</w:t>
            </w:r>
          </w:p>
        </w:tc>
      </w:tr>
    </w:tbl>
    <w:p>
      <w:pPr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pStyle w:val="7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pStyle w:val="7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pStyle w:val="7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pStyle w:val="7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pStyle w:val="7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pStyle w:val="7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pStyle w:val="7"/>
        <w:ind w:left="0" w:leftChars="0" w:firstLine="0" w:firstLineChars="0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附表三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val="en-US" w:bidi="zh-CN"/>
        </w:rPr>
        <w:t>四川交建“总部基地”施工临时用电工程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bidi="zh-CN"/>
        </w:rPr>
        <w:t>项目</w:t>
      </w:r>
    </w:p>
    <w:p>
      <w:pPr>
        <w:pStyle w:val="10"/>
        <w:ind w:firstLine="0"/>
        <w:jc w:val="center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10"/>
        <w:ind w:firstLine="0"/>
        <w:jc w:val="center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拟投入人员配置表(最低要求）</w:t>
      </w:r>
    </w:p>
    <w:p>
      <w:pPr>
        <w:pStyle w:val="10"/>
        <w:ind w:firstLine="0"/>
        <w:rPr>
          <w:rFonts w:hint="eastAsia"/>
        </w:rPr>
      </w:pP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1554"/>
        <w:gridCol w:w="1796"/>
        <w:gridCol w:w="2796"/>
        <w:gridCol w:w="23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人员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工作任务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人数/队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exac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项目负责人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生产管理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exac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项目技术负责人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技术管理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exac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安全负责人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安全管理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须具备有效的安全生产考核合格C证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exac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施工员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负责现场测量、放线、施工管理、记录表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rPr>
          <w:rFonts w:ascii="宋体" w:hAnsi="宋体" w:cs="宋体"/>
          <w:sz w:val="24"/>
          <w:szCs w:val="24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注：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1、主要人员的最低要求，投标人应根据施工需要或招标人的要求增加相关人员。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2、如因投标人的原因(除不可抗拒因素外)更换上述主要人员（项目负责人、现场技术员、安全员），须报请招标人批准，更换人员的资质不能低于招标文件要求，自行更换主要负责人的，对投标人按每人次处以</w:t>
      </w:r>
      <w:r>
        <w:rPr>
          <w:rFonts w:hint="eastAsia" w:ascii="宋体" w:hAnsi="宋体" w:cs="宋体"/>
          <w:szCs w:val="21"/>
          <w:lang w:val="en-US" w:eastAsia="zh-CN"/>
        </w:rPr>
        <w:t>5</w:t>
      </w:r>
      <w:r>
        <w:rPr>
          <w:rFonts w:hint="eastAsia" w:ascii="宋体" w:hAnsi="宋体" w:cs="宋体"/>
          <w:szCs w:val="21"/>
        </w:rPr>
        <w:t>万元人民币违约金。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3、相关管理人员及技术人员必须在岗，有特殊情况离岗必须向项目部请假并得到批准。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</w:rPr>
      </w:pPr>
    </w:p>
    <w:p>
      <w:pPr>
        <w:jc w:val="left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</w:rPr>
        <w:t>附表四</w:t>
      </w:r>
    </w:p>
    <w:p>
      <w:pPr>
        <w:pStyle w:val="10"/>
        <w:ind w:firstLine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四川交建集团科研基地施工用电工程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</w:rPr>
        <w:t>投入设备明细表(最低要求）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highlight w:val="none"/>
        </w:rPr>
      </w:pPr>
    </w:p>
    <w:tbl>
      <w:tblPr>
        <w:tblStyle w:val="8"/>
        <w:tblW w:w="95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449"/>
        <w:gridCol w:w="1260"/>
        <w:gridCol w:w="840"/>
        <w:gridCol w:w="945"/>
        <w:gridCol w:w="1040"/>
        <w:gridCol w:w="1065"/>
        <w:gridCol w:w="1065"/>
        <w:gridCol w:w="10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44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机械设备名称</w:t>
            </w:r>
          </w:p>
        </w:tc>
        <w:tc>
          <w:tcPr>
            <w:tcW w:w="126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84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106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每增加一台自有设备加分值</w:t>
            </w:r>
          </w:p>
        </w:tc>
        <w:tc>
          <w:tcPr>
            <w:tcW w:w="106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加分上限</w:t>
            </w:r>
          </w:p>
        </w:tc>
        <w:tc>
          <w:tcPr>
            <w:tcW w:w="106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4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总数量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自有设备</w:t>
            </w:r>
          </w:p>
        </w:tc>
        <w:tc>
          <w:tcPr>
            <w:tcW w:w="106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挖掘机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6</w:t>
            </w:r>
            <w:r>
              <w:rPr>
                <w:rFonts w:ascii="宋体" w:hAnsi="宋体"/>
                <w:color w:val="000000"/>
                <w:szCs w:val="24"/>
                <w:highlight w:val="none"/>
              </w:rPr>
              <w:t>0</w:t>
            </w:r>
            <w:r>
              <w:rPr>
                <w:rFonts w:hint="eastAsia" w:ascii="宋体" w:hAnsi="宋体"/>
                <w:color w:val="000000"/>
                <w:szCs w:val="24"/>
                <w:highlight w:val="none"/>
              </w:rPr>
              <w:t>型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hAnsi="宋体"/>
                <w:b w:val="0"/>
                <w:color w:val="000000"/>
                <w:szCs w:val="24"/>
                <w:highlight w:val="none"/>
              </w:rPr>
              <w:t>2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吊车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25吨以上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3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自卸式汽车吊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20吨以上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4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交流电焊机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BX6-400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5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切割机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BX6-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00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6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砂轮切割机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Ф300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7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角磨机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Ф100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8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发电机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TFW2-100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9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10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11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12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Ansi="宋体"/>
                <w:b w:val="0"/>
                <w:color w:val="000000"/>
                <w:szCs w:val="24"/>
                <w:highlight w:val="none"/>
              </w:rPr>
              <w:t>13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</w:tbl>
    <w:p>
      <w:pPr>
        <w:rPr>
          <w:rFonts w:hint="default" w:eastAsia="宋体"/>
          <w:color w:val="auto"/>
          <w:highlight w:val="none"/>
          <w:lang w:val="en-US" w:eastAsia="zh-CN"/>
        </w:rPr>
      </w:pPr>
      <w:r>
        <w:rPr>
          <w:rFonts w:hint="eastAsia" w:eastAsia="宋体"/>
          <w:color w:val="auto"/>
          <w:highlight w:val="none"/>
          <w:lang w:val="en-US" w:eastAsia="zh-CN"/>
        </w:rPr>
        <w:t xml:space="preserve">                                                                                                                                                                 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注：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jc w:val="left"/>
        <w:textAlignment w:val="center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2、本表中的总数量为承包人中标后向发包人承诺的投入最低设备要求，并以书面形式纳入合同附件。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3、所有设备购买年限均应在5年以内（发票时间201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年1月1日至今）。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1" w:firstLineChars="100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</w:pPr>
      <w:r>
        <w:rPr>
          <w:rFonts w:hint="eastAsia"/>
          <w:b/>
          <w:bCs/>
          <w:color w:val="auto"/>
          <w:sz w:val="21"/>
          <w:szCs w:val="21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自有设备需提供购买发票或公证机关出具的公证书。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 xml:space="preserve">  5、若投标人提供的机械设备功率、规格大于招标人要求的，视作满足基本条件及加分条件。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zNjIyZmEyOTc4MjQ3MGNkYzk5M2U4ODdkMDcyZjQifQ=="/>
  </w:docVars>
  <w:rsids>
    <w:rsidRoot w:val="04F3663F"/>
    <w:rsid w:val="04F3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szCs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First Indent 2"/>
    <w:basedOn w:val="4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10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customStyle="1" w:styleId="11">
    <w:name w:val="Table Paragraph"/>
    <w:basedOn w:val="1"/>
    <w:qFormat/>
    <w:uiPriority w:val="1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2022-12-20T09:18:00Z</dcterms:created>
  <dc:creator>APOLOGY</dc:creator>
  <cp:lastModifiedBy>APOLOGY</cp:lastModifiedBy>
  <dcterms:modified xsi:type="dcterms:W3CDTF">2022-12-20T09:22:30Z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48D2FDFBA63B4267A208187CD1722FA1</vt:lpwstr>
  </property>
</Properties>
</file>