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jc w:val="cente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久马高速公路</w:t>
      </w:r>
      <w:r>
        <w:rPr>
          <w:rFonts w:hint="eastAsia" w:cs="仿宋"/>
          <w:b/>
          <w:bCs/>
          <w:color w:val="auto"/>
          <w:sz w:val="32"/>
          <w:szCs w:val="32"/>
          <w:highlight w:val="none"/>
          <w:lang w:val="en-US" w:eastAsia="zh-CN"/>
        </w:rPr>
        <w:t>C2总包部</w:t>
      </w:r>
      <w:r>
        <w:rPr>
          <w:rFonts w:hint="eastAsia" w:cs="仿宋"/>
          <w:b/>
          <w:bCs/>
          <w:color w:val="auto"/>
          <w:sz w:val="32"/>
          <w:szCs w:val="32"/>
          <w:highlight w:val="none"/>
          <w:lang w:eastAsia="zh-CN"/>
        </w:rPr>
        <w:t>土建工程劳务合作分段</w:t>
      </w:r>
      <w:r>
        <w:rPr>
          <w:rFonts w:hint="eastAsia" w:ascii="仿宋" w:hAnsi="仿宋" w:eastAsia="仿宋" w:cs="仿宋"/>
          <w:b/>
          <w:bCs/>
          <w:color w:val="auto"/>
          <w:sz w:val="32"/>
          <w:szCs w:val="32"/>
          <w:highlight w:val="none"/>
        </w:rPr>
        <w:t>划分</w:t>
      </w:r>
      <w:r>
        <w:rPr>
          <w:rFonts w:hint="eastAsia" w:ascii="仿宋" w:hAnsi="仿宋" w:eastAsia="仿宋" w:cs="仿宋"/>
          <w:b/>
          <w:bCs/>
          <w:color w:val="auto"/>
          <w:sz w:val="32"/>
          <w:szCs w:val="32"/>
          <w:highlight w:val="none"/>
          <w:lang w:eastAsia="zh-CN"/>
        </w:rPr>
        <w:t>、工程规模、工期统计表</w:t>
      </w:r>
    </w:p>
    <w:p>
      <w:pPr>
        <w:pStyle w:val="2"/>
        <w:ind w:firstLine="0"/>
        <w:jc w:val="both"/>
        <w:rPr>
          <w:rFonts w:hint="eastAsia" w:ascii="仿宋" w:hAnsi="仿宋" w:eastAsia="仿宋" w:cs="仿宋"/>
          <w:b/>
          <w:bCs/>
          <w:color w:val="auto"/>
          <w:sz w:val="32"/>
          <w:szCs w:val="32"/>
          <w:highlight w:val="none"/>
          <w:lang w:eastAsia="zh-CN"/>
        </w:rPr>
      </w:pPr>
    </w:p>
    <w:tbl>
      <w:tblPr>
        <w:tblStyle w:val="15"/>
        <w:tblW w:w="14538" w:type="dxa"/>
        <w:tblInd w:w="0" w:type="dxa"/>
        <w:tblLayout w:type="fixed"/>
        <w:tblCellMar>
          <w:top w:w="0" w:type="dxa"/>
          <w:left w:w="0" w:type="dxa"/>
          <w:bottom w:w="0" w:type="dxa"/>
          <w:right w:w="0" w:type="dxa"/>
        </w:tblCellMar>
      </w:tblPr>
      <w:tblGrid>
        <w:gridCol w:w="649"/>
        <w:gridCol w:w="675"/>
        <w:gridCol w:w="1720"/>
        <w:gridCol w:w="884"/>
        <w:gridCol w:w="2226"/>
        <w:gridCol w:w="1709"/>
        <w:gridCol w:w="1133"/>
        <w:gridCol w:w="1667"/>
        <w:gridCol w:w="2692"/>
        <w:gridCol w:w="1183"/>
      </w:tblGrid>
      <w:tr>
        <w:tblPrEx>
          <w:tblLayout w:type="fixed"/>
          <w:tblCellMar>
            <w:top w:w="0" w:type="dxa"/>
            <w:left w:w="0" w:type="dxa"/>
            <w:bottom w:w="0" w:type="dxa"/>
            <w:right w:w="0" w:type="dxa"/>
          </w:tblCellMar>
        </w:tblPrEx>
        <w:trPr>
          <w:trHeight w:val="574" w:hRule="atLeast"/>
          <w:tblHeader/>
        </w:trPr>
        <w:tc>
          <w:tcPr>
            <w:tcW w:w="64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6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名称</w:t>
            </w:r>
          </w:p>
        </w:tc>
        <w:tc>
          <w:tcPr>
            <w:tcW w:w="172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88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长度（Km）</w:t>
            </w:r>
          </w:p>
        </w:tc>
        <w:tc>
          <w:tcPr>
            <w:tcW w:w="6735"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协作内容</w:t>
            </w:r>
          </w:p>
        </w:tc>
        <w:tc>
          <w:tcPr>
            <w:tcW w:w="269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工作内容</w:t>
            </w:r>
          </w:p>
        </w:tc>
        <w:tc>
          <w:tcPr>
            <w:tcW w:w="118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r>
      <w:tr>
        <w:tblPrEx>
          <w:tblLayout w:type="fixed"/>
          <w:tblCellMar>
            <w:top w:w="0" w:type="dxa"/>
            <w:left w:w="0" w:type="dxa"/>
            <w:bottom w:w="0" w:type="dxa"/>
            <w:right w:w="0" w:type="dxa"/>
          </w:tblCellMar>
        </w:tblPrEx>
        <w:trPr>
          <w:trHeight w:val="597" w:hRule="atLeast"/>
          <w:tblHeader/>
        </w:trPr>
        <w:tc>
          <w:tcPr>
            <w:tcW w:w="64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6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2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88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桥梁</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隧道</w:t>
            </w: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互通</w:t>
            </w: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路基及附属工程</w:t>
            </w:r>
          </w:p>
        </w:tc>
        <w:tc>
          <w:tcPr>
            <w:tcW w:w="269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8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r>
      <w:tr>
        <w:tblPrEx>
          <w:tblLayout w:type="fixed"/>
          <w:tblCellMar>
            <w:top w:w="0" w:type="dxa"/>
            <w:left w:w="0" w:type="dxa"/>
            <w:bottom w:w="0" w:type="dxa"/>
            <w:right w:w="0" w:type="dxa"/>
          </w:tblCellMar>
        </w:tblPrEx>
        <w:trPr>
          <w:trHeight w:val="295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TJ5-1</w:t>
            </w:r>
          </w:p>
        </w:tc>
        <w:tc>
          <w:tcPr>
            <w:tcW w:w="17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K87+000～K9</w:t>
            </w:r>
            <w:r>
              <w:rPr>
                <w:rFonts w:hint="eastAsia" w:ascii="宋体" w:hAnsi="宋体" w:cs="宋体"/>
                <w:color w:val="auto"/>
                <w:kern w:val="0"/>
                <w:sz w:val="18"/>
                <w:szCs w:val="18"/>
                <w:highlight w:val="none"/>
                <w:lang w:val="en-US" w:eastAsia="zh-CN" w:bidi="ar"/>
              </w:rPr>
              <w:t>2</w:t>
            </w:r>
            <w:r>
              <w:rPr>
                <w:rFonts w:hint="eastAsia"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440</w:t>
            </w:r>
          </w:p>
        </w:tc>
        <w:tc>
          <w:tcPr>
            <w:tcW w:w="8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4.719</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然清河1号中桥（92.53m）、神座互通C匝道大桥（209m）、</w:t>
            </w:r>
          </w:p>
          <w:p>
            <w:pPr>
              <w:widowControl/>
              <w:jc w:val="both"/>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然清河2#</w:t>
            </w:r>
            <w:r>
              <w:rPr>
                <w:rFonts w:hint="eastAsia" w:ascii="宋体" w:hAnsi="宋体" w:cs="宋体"/>
                <w:color w:val="auto"/>
                <w:kern w:val="0"/>
                <w:sz w:val="18"/>
                <w:szCs w:val="18"/>
                <w:highlight w:val="none"/>
                <w:lang w:val="en-US" w:eastAsia="zh-CN" w:bidi="ar"/>
              </w:rPr>
              <w:t>特</w:t>
            </w:r>
            <w:r>
              <w:rPr>
                <w:rFonts w:hint="eastAsia" w:ascii="宋体" w:hAnsi="宋体" w:cs="宋体"/>
                <w:color w:val="auto"/>
                <w:kern w:val="0"/>
                <w:sz w:val="18"/>
                <w:szCs w:val="18"/>
                <w:highlight w:val="none"/>
                <w:lang w:bidi="ar"/>
              </w:rPr>
              <w:t>大桥（1278m）、然清河3#</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大桥（</w:t>
            </w:r>
            <w:r>
              <w:rPr>
                <w:rFonts w:hint="eastAsia" w:ascii="宋体" w:hAnsi="宋体" w:cs="宋体"/>
                <w:color w:val="auto"/>
                <w:kern w:val="0"/>
                <w:sz w:val="18"/>
                <w:szCs w:val="18"/>
                <w:highlight w:val="none"/>
                <w:lang w:val="en-US" w:eastAsia="zh-CN" w:bidi="ar"/>
              </w:rPr>
              <w:t>165.03</w:t>
            </w:r>
            <w:r>
              <w:rPr>
                <w:rFonts w:hint="eastAsia" w:ascii="宋体" w:hAnsi="宋体" w:cs="宋体"/>
                <w:color w:val="auto"/>
                <w:kern w:val="0"/>
                <w:sz w:val="18"/>
                <w:szCs w:val="18"/>
                <w:highlight w:val="none"/>
                <w:lang w:bidi="ar"/>
              </w:rPr>
              <w:t>m）、然清河3#</w:t>
            </w:r>
            <w:r>
              <w:rPr>
                <w:rFonts w:hint="eastAsia" w:ascii="宋体" w:hAnsi="宋体" w:cs="宋体"/>
                <w:color w:val="auto"/>
                <w:kern w:val="0"/>
                <w:sz w:val="18"/>
                <w:szCs w:val="18"/>
                <w:highlight w:val="none"/>
                <w:lang w:val="en-US" w:eastAsia="zh-CN" w:bidi="ar"/>
              </w:rPr>
              <w:t>右线</w:t>
            </w:r>
            <w:r>
              <w:rPr>
                <w:rFonts w:hint="eastAsia" w:ascii="宋体" w:hAnsi="宋体" w:cs="宋体"/>
                <w:color w:val="auto"/>
                <w:kern w:val="0"/>
                <w:sz w:val="18"/>
                <w:szCs w:val="18"/>
                <w:highlight w:val="none"/>
                <w:lang w:bidi="ar"/>
              </w:rPr>
              <w:t>大桥（205</w:t>
            </w:r>
            <w:r>
              <w:rPr>
                <w:rFonts w:hint="eastAsia" w:ascii="宋体" w:hAnsi="宋体" w:cs="宋体"/>
                <w:color w:val="auto"/>
                <w:kern w:val="0"/>
                <w:sz w:val="18"/>
                <w:szCs w:val="18"/>
                <w:highlight w:val="none"/>
                <w:lang w:val="en-US" w:eastAsia="zh-CN" w:bidi="ar"/>
              </w:rPr>
              <w:t>.03</w:t>
            </w:r>
            <w:r>
              <w:rPr>
                <w:rFonts w:hint="eastAsia" w:ascii="宋体" w:hAnsi="宋体" w:cs="宋体"/>
                <w:color w:val="auto"/>
                <w:kern w:val="0"/>
                <w:sz w:val="18"/>
                <w:szCs w:val="18"/>
                <w:highlight w:val="none"/>
                <w:lang w:bidi="ar"/>
              </w:rPr>
              <w:t>m）、然清河4#</w:t>
            </w:r>
            <w:r>
              <w:rPr>
                <w:rFonts w:hint="eastAsia" w:ascii="宋体" w:hAnsi="宋体" w:cs="宋体"/>
                <w:color w:val="auto"/>
                <w:kern w:val="0"/>
                <w:sz w:val="18"/>
                <w:szCs w:val="18"/>
                <w:highlight w:val="none"/>
                <w:lang w:val="en-US" w:eastAsia="zh-CN" w:bidi="ar"/>
              </w:rPr>
              <w:t>左线特大</w:t>
            </w:r>
            <w:r>
              <w:rPr>
                <w:rFonts w:hint="eastAsia" w:ascii="宋体" w:hAnsi="宋体" w:cs="宋体"/>
                <w:color w:val="auto"/>
                <w:kern w:val="0"/>
                <w:sz w:val="18"/>
                <w:szCs w:val="18"/>
                <w:highlight w:val="none"/>
                <w:lang w:bidi="ar"/>
              </w:rPr>
              <w:t>桥</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val="en-US" w:eastAsia="zh-CN" w:bidi="ar"/>
              </w:rPr>
              <w:t>2190.96m</w:t>
            </w:r>
            <w:r>
              <w:rPr>
                <w:rFonts w:hint="eastAsia" w:ascii="宋体" w:hAnsi="宋体" w:cs="宋体"/>
                <w:color w:val="auto"/>
                <w:kern w:val="0"/>
                <w:sz w:val="18"/>
                <w:szCs w:val="18"/>
                <w:highlight w:val="none"/>
                <w:lang w:eastAsia="zh-CN" w:bidi="ar"/>
              </w:rPr>
              <w:t>）、</w:t>
            </w:r>
          </w:p>
          <w:p>
            <w:pPr>
              <w:widowControl/>
              <w:jc w:val="both"/>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然清河4#</w:t>
            </w:r>
            <w:r>
              <w:rPr>
                <w:rFonts w:hint="eastAsia" w:ascii="宋体" w:hAnsi="宋体" w:cs="宋体"/>
                <w:color w:val="auto"/>
                <w:kern w:val="0"/>
                <w:sz w:val="18"/>
                <w:szCs w:val="18"/>
                <w:highlight w:val="none"/>
                <w:lang w:val="en-US" w:eastAsia="zh-CN" w:bidi="ar"/>
              </w:rPr>
              <w:t>右线特大</w:t>
            </w:r>
            <w:r>
              <w:rPr>
                <w:rFonts w:hint="eastAsia" w:ascii="宋体" w:hAnsi="宋体" w:cs="宋体"/>
                <w:color w:val="auto"/>
                <w:kern w:val="0"/>
                <w:sz w:val="18"/>
                <w:szCs w:val="18"/>
                <w:highlight w:val="none"/>
                <w:lang w:bidi="ar"/>
              </w:rPr>
              <w:t>桥</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val="en-US" w:eastAsia="zh-CN" w:bidi="ar"/>
              </w:rPr>
              <w:t>2200.96m</w:t>
            </w:r>
            <w:r>
              <w:rPr>
                <w:rFonts w:hint="eastAsia" w:ascii="宋体" w:hAnsi="宋体" w:cs="宋体"/>
                <w:color w:val="auto"/>
                <w:kern w:val="0"/>
                <w:sz w:val="18"/>
                <w:szCs w:val="18"/>
                <w:highlight w:val="none"/>
                <w:lang w:eastAsia="zh-CN" w:bidi="ar"/>
              </w:rPr>
              <w:t>）</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
            <w:pPr>
              <w:widowControl/>
              <w:jc w:val="both"/>
              <w:textAlignment w:val="center"/>
              <w:rPr>
                <w:rFonts w:hint="eastAsia" w:ascii="宋体" w:hAnsi="宋体" w:cs="宋体"/>
                <w:color w:val="auto"/>
                <w:kern w:val="0"/>
                <w:sz w:val="18"/>
                <w:szCs w:val="18"/>
                <w:highlight w:val="none"/>
                <w:lang w:bidi="ar"/>
              </w:rPr>
            </w:pP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神座互通</w:t>
            </w: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路基及附属0.9km</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该段所有路基、桥梁、</w:t>
            </w:r>
            <w:r>
              <w:rPr>
                <w:rFonts w:hint="eastAsia" w:ascii="宋体" w:hAnsi="宋体" w:cs="宋体"/>
                <w:color w:val="auto"/>
                <w:kern w:val="0"/>
                <w:sz w:val="18"/>
                <w:szCs w:val="18"/>
                <w:highlight w:val="none"/>
                <w:lang w:val="en-US" w:eastAsia="zh-CN" w:bidi="ar"/>
              </w:rPr>
              <w:t>民工驻地、施工便道、钢筋加工运输、混凝土拌和运输</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36</w:t>
            </w:r>
          </w:p>
        </w:tc>
      </w:tr>
      <w:tr>
        <w:tblPrEx>
          <w:tblLayout w:type="fixed"/>
          <w:tblCellMar>
            <w:top w:w="0" w:type="dxa"/>
            <w:left w:w="0" w:type="dxa"/>
            <w:bottom w:w="0" w:type="dxa"/>
            <w:right w:w="0" w:type="dxa"/>
          </w:tblCellMar>
        </w:tblPrEx>
        <w:trPr>
          <w:trHeight w:val="1314"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TJ</w:t>
            </w:r>
            <w:r>
              <w:rPr>
                <w:rFonts w:hint="eastAsia" w:ascii="宋体" w:hAnsi="宋体" w:cs="宋体"/>
                <w:color w:val="auto"/>
                <w:kern w:val="0"/>
                <w:sz w:val="18"/>
                <w:szCs w:val="18"/>
                <w:highlight w:val="none"/>
                <w:lang w:val="en-US" w:eastAsia="zh-CN" w:bidi="ar"/>
              </w:rPr>
              <w:t>5</w:t>
            </w:r>
            <w:r>
              <w:rPr>
                <w:rFonts w:hint="eastAsia"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6</w:t>
            </w:r>
          </w:p>
        </w:tc>
        <w:tc>
          <w:tcPr>
            <w:tcW w:w="17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ZK92+472～ZK93+995</w:t>
            </w:r>
          </w:p>
          <w:p>
            <w:pPr>
              <w:pStyle w:val="2"/>
              <w:ind w:left="0" w:leftChars="0" w:firstLine="0" w:firstLineChars="0"/>
              <w:jc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K92+440～K194+002</w:t>
            </w:r>
          </w:p>
          <w:p>
            <w:pPr>
              <w:keepNext w:val="0"/>
              <w:keepLines w:val="0"/>
              <w:widowControl/>
              <w:suppressLineNumbers w:val="0"/>
              <w:jc w:val="center"/>
              <w:rPr>
                <w:rFonts w:hint="eastAsia"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ZK89+525 ZK90+264</w:t>
            </w:r>
          </w:p>
          <w:p>
            <w:pPr>
              <w:keepNext w:val="0"/>
              <w:keepLines w:val="0"/>
              <w:widowControl/>
              <w:suppressLineNumbers w:val="0"/>
              <w:jc w:val="center"/>
              <w:rPr>
                <w:rFonts w:hint="eastAsia"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K89+540</w:t>
            </w:r>
            <w:r>
              <w:rPr>
                <w:rFonts w:hint="eastAsia" w:ascii="宋体" w:hAnsi="宋体" w:eastAsia="宋体" w:cs="宋体"/>
                <w:color w:val="auto"/>
                <w:kern w:val="0"/>
                <w:sz w:val="18"/>
                <w:szCs w:val="18"/>
                <w:highlight w:val="none"/>
                <w:lang w:val="en-US" w:eastAsia="zh-CN" w:bidi="ar"/>
              </w:rPr>
              <w:t xml:space="preserve">～ </w:t>
            </w:r>
            <w:r>
              <w:rPr>
                <w:rFonts w:hint="default" w:ascii="宋体" w:hAnsi="宋体" w:eastAsia="宋体" w:cs="宋体"/>
                <w:color w:val="auto"/>
                <w:kern w:val="0"/>
                <w:sz w:val="18"/>
                <w:szCs w:val="18"/>
                <w:highlight w:val="none"/>
                <w:lang w:val="en-US" w:eastAsia="zh-CN" w:bidi="ar"/>
              </w:rPr>
              <w:t>K90+230</w:t>
            </w:r>
          </w:p>
          <w:p>
            <w:pPr>
              <w:pStyle w:val="2"/>
              <w:ind w:left="0" w:leftChars="0" w:firstLine="0" w:firstLineChars="0"/>
              <w:jc w:val="center"/>
              <w:rPr>
                <w:rFonts w:hint="eastAsia" w:ascii="宋体" w:hAnsi="宋体" w:cs="宋体"/>
                <w:color w:val="auto"/>
                <w:kern w:val="0"/>
                <w:sz w:val="18"/>
                <w:szCs w:val="18"/>
                <w:highlight w:val="none"/>
                <w:lang w:bidi="ar"/>
              </w:rPr>
            </w:pPr>
          </w:p>
        </w:tc>
        <w:tc>
          <w:tcPr>
            <w:tcW w:w="8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w:t>
            </w:r>
            <w:r>
              <w:rPr>
                <w:rFonts w:hint="eastAsia" w:ascii="宋体" w:hAnsi="宋体" w:cs="宋体"/>
                <w:color w:val="auto"/>
                <w:kern w:val="0"/>
                <w:sz w:val="18"/>
                <w:szCs w:val="18"/>
                <w:highlight w:val="none"/>
                <w:lang w:val="en-US" w:eastAsia="zh-CN" w:bidi="ar"/>
              </w:rPr>
              <w:t>281</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冻则柯隧道</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（73</w:t>
            </w:r>
            <w:r>
              <w:rPr>
                <w:rFonts w:hint="eastAsia" w:ascii="宋体" w:hAnsi="宋体" w:cs="宋体"/>
                <w:color w:val="auto"/>
                <w:kern w:val="0"/>
                <w:sz w:val="18"/>
                <w:szCs w:val="18"/>
                <w:highlight w:val="none"/>
                <w:lang w:val="en-US" w:eastAsia="zh-CN" w:bidi="ar"/>
              </w:rPr>
              <w:t>9</w:t>
            </w:r>
            <w:r>
              <w:rPr>
                <w:rFonts w:hint="eastAsia" w:ascii="宋体" w:hAnsi="宋体" w:cs="宋体"/>
                <w:color w:val="auto"/>
                <w:kern w:val="0"/>
                <w:sz w:val="18"/>
                <w:szCs w:val="18"/>
                <w:highlight w:val="none"/>
                <w:lang w:bidi="ar"/>
              </w:rPr>
              <w:t>m）</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bidi="ar"/>
              </w:rPr>
              <w:t>冻则柯隧道</w:t>
            </w:r>
            <w:r>
              <w:rPr>
                <w:rFonts w:hint="eastAsia" w:ascii="宋体" w:hAnsi="宋体" w:cs="宋体"/>
                <w:color w:val="auto"/>
                <w:kern w:val="0"/>
                <w:sz w:val="18"/>
                <w:szCs w:val="18"/>
                <w:highlight w:val="none"/>
                <w:lang w:val="en-US" w:eastAsia="zh-CN" w:bidi="ar"/>
              </w:rPr>
              <w:t>右线</w:t>
            </w:r>
            <w:r>
              <w:rPr>
                <w:rFonts w:hint="eastAsia"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690</w:t>
            </w:r>
            <w:r>
              <w:rPr>
                <w:rFonts w:hint="eastAsia" w:ascii="宋体" w:hAnsi="宋体" w:cs="宋体"/>
                <w:color w:val="auto"/>
                <w:kern w:val="0"/>
                <w:sz w:val="18"/>
                <w:szCs w:val="18"/>
                <w:highlight w:val="none"/>
                <w:lang w:bidi="ar"/>
              </w:rPr>
              <w:t>m）</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bidi="ar"/>
              </w:rPr>
              <w:t>然木多1#隧道</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（15</w:t>
            </w:r>
            <w:r>
              <w:rPr>
                <w:rFonts w:hint="eastAsia" w:ascii="宋体" w:hAnsi="宋体" w:cs="宋体"/>
                <w:color w:val="auto"/>
                <w:kern w:val="0"/>
                <w:sz w:val="18"/>
                <w:szCs w:val="18"/>
                <w:highlight w:val="none"/>
                <w:lang w:val="en-US" w:eastAsia="zh-CN" w:bidi="ar"/>
              </w:rPr>
              <w:t>42</w:t>
            </w:r>
            <w:r>
              <w:rPr>
                <w:rFonts w:hint="eastAsia" w:ascii="宋体" w:hAnsi="宋体" w:cs="宋体"/>
                <w:color w:val="auto"/>
                <w:kern w:val="0"/>
                <w:sz w:val="18"/>
                <w:szCs w:val="18"/>
                <w:highlight w:val="none"/>
                <w:lang w:bidi="ar"/>
              </w:rPr>
              <w:t>m）</w:t>
            </w:r>
            <w:r>
              <w:rPr>
                <w:rFonts w:hint="eastAsia" w:ascii="宋体" w:hAnsi="宋体" w:cs="宋体"/>
                <w:color w:val="auto"/>
                <w:kern w:val="0"/>
                <w:sz w:val="18"/>
                <w:szCs w:val="18"/>
                <w:highlight w:val="none"/>
                <w:lang w:eastAsia="zh-CN" w:bidi="ar"/>
              </w:rPr>
              <w:t>、</w:t>
            </w:r>
          </w:p>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然木多1#隧道</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（15</w:t>
            </w:r>
            <w:r>
              <w:rPr>
                <w:rFonts w:hint="eastAsia" w:ascii="宋体" w:hAnsi="宋体" w:cs="宋体"/>
                <w:color w:val="auto"/>
                <w:kern w:val="0"/>
                <w:sz w:val="18"/>
                <w:szCs w:val="18"/>
                <w:highlight w:val="none"/>
                <w:lang w:val="en-US" w:eastAsia="zh-CN" w:bidi="ar"/>
              </w:rPr>
              <w:t>62</w:t>
            </w:r>
            <w:r>
              <w:rPr>
                <w:rFonts w:hint="eastAsia" w:ascii="宋体" w:hAnsi="宋体" w:cs="宋体"/>
                <w:color w:val="auto"/>
                <w:kern w:val="0"/>
                <w:sz w:val="18"/>
                <w:szCs w:val="18"/>
                <w:highlight w:val="none"/>
                <w:lang w:bidi="ar"/>
              </w:rPr>
              <w:t>m）</w:t>
            </w: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该段所有隧道</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val="en-US" w:eastAsia="zh-CN" w:bidi="ar"/>
              </w:rPr>
              <w:t>民工驻地、施工便道、钢筋加工运输</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36</w:t>
            </w:r>
          </w:p>
        </w:tc>
      </w:tr>
    </w:tbl>
    <w:p>
      <w:pPr>
        <w:pStyle w:val="2"/>
        <w:jc w:val="both"/>
        <w:rPr>
          <w:rFonts w:hint="eastAsia" w:ascii="仿宋" w:hAnsi="仿宋" w:eastAsia="仿宋" w:cs="仿宋"/>
          <w:b/>
          <w:bCs/>
          <w:color w:val="auto"/>
          <w:sz w:val="32"/>
          <w:szCs w:val="32"/>
          <w:highlight w:val="none"/>
          <w:lang w:eastAsia="zh-CN"/>
        </w:rPr>
      </w:pPr>
    </w:p>
    <w:p>
      <w:pPr>
        <w:pStyle w:val="2"/>
        <w:rPr>
          <w:color w:val="auto"/>
          <w:highlight w:val="none"/>
        </w:rPr>
      </w:pPr>
    </w:p>
    <w:p>
      <w:pPr>
        <w:pStyle w:val="2"/>
        <w:rPr>
          <w:color w:val="auto"/>
          <w:highlight w:val="none"/>
        </w:rPr>
      </w:pPr>
    </w:p>
    <w:p>
      <w:pPr>
        <w:pStyle w:val="2"/>
        <w:rPr>
          <w:color w:val="auto"/>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ind w:firstLine="0"/>
        <w:jc w:val="both"/>
        <w:rPr>
          <w:rFonts w:hint="eastAsia" w:cs="仿宋"/>
          <w:b/>
          <w:bCs/>
          <w:color w:val="auto"/>
          <w:sz w:val="32"/>
          <w:szCs w:val="32"/>
          <w:highlight w:val="none"/>
        </w:rPr>
      </w:pPr>
    </w:p>
    <w:p>
      <w:pPr>
        <w:jc w:val="left"/>
        <w:rPr>
          <w:rFonts w:hint="eastAsia" w:ascii="宋体" w:hAnsi="宋体" w:eastAsia="宋体" w:cs="宋体"/>
          <w:b/>
          <w:color w:val="auto"/>
          <w:sz w:val="28"/>
          <w:szCs w:val="28"/>
          <w:highlight w:val="none"/>
        </w:rPr>
      </w:pPr>
    </w:p>
    <w:p>
      <w:pPr>
        <w:pStyle w:val="2"/>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久马高速公路土建工程</w:t>
      </w:r>
      <w:r>
        <w:rPr>
          <w:rFonts w:hint="eastAsia" w:cs="仿宋"/>
          <w:b/>
          <w:bCs/>
          <w:color w:val="auto"/>
          <w:sz w:val="32"/>
          <w:szCs w:val="32"/>
          <w:highlight w:val="none"/>
          <w:lang w:eastAsia="zh-CN"/>
        </w:rPr>
        <w:t>劳务合作</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15"/>
        <w:tblW w:w="13737" w:type="dxa"/>
        <w:tblInd w:w="0" w:type="dxa"/>
        <w:tblLayout w:type="fixed"/>
        <w:tblCellMar>
          <w:top w:w="0" w:type="dxa"/>
          <w:left w:w="0" w:type="dxa"/>
          <w:bottom w:w="0" w:type="dxa"/>
          <w:right w:w="0" w:type="dxa"/>
        </w:tblCellMar>
      </w:tblPr>
      <w:tblGrid>
        <w:gridCol w:w="1070"/>
        <w:gridCol w:w="2787"/>
        <w:gridCol w:w="2235"/>
        <w:gridCol w:w="3088"/>
        <w:gridCol w:w="3363"/>
        <w:gridCol w:w="1194"/>
      </w:tblGrid>
      <w:tr>
        <w:tblPrEx>
          <w:tblLayout w:type="fixed"/>
          <w:tblCellMar>
            <w:top w:w="0" w:type="dxa"/>
            <w:left w:w="0" w:type="dxa"/>
            <w:bottom w:w="0" w:type="dxa"/>
            <w:right w:w="0" w:type="dxa"/>
          </w:tblCellMar>
        </w:tblPrEx>
        <w:trPr>
          <w:trHeight w:val="703" w:hRule="atLeast"/>
        </w:trPr>
        <w:tc>
          <w:tcPr>
            <w:tcW w:w="10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2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6"/>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3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6"/>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1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Layout w:type="fixed"/>
          <w:tblCellMar>
            <w:top w:w="0" w:type="dxa"/>
            <w:left w:w="0" w:type="dxa"/>
            <w:bottom w:w="0" w:type="dxa"/>
            <w:right w:w="0" w:type="dxa"/>
          </w:tblCellMar>
        </w:tblPrEx>
        <w:trPr>
          <w:trHeight w:val="1400" w:hRule="atLeast"/>
        </w:trPr>
        <w:tc>
          <w:tcPr>
            <w:tcW w:w="10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TJ5-1</w:t>
            </w:r>
          </w:p>
        </w:tc>
        <w:tc>
          <w:tcPr>
            <w:tcW w:w="22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eastAsia="zh-CN" w:bidi="ar"/>
              </w:rPr>
              <w:t>路基、</w:t>
            </w:r>
            <w:r>
              <w:rPr>
                <w:rFonts w:hint="eastAsia" w:ascii="宋体" w:hAnsi="宋体" w:eastAsia="宋体" w:cs="宋体"/>
                <w:color w:val="auto"/>
                <w:kern w:val="0"/>
                <w:sz w:val="18"/>
                <w:szCs w:val="18"/>
                <w:highlight w:val="none"/>
                <w:lang w:eastAsia="zh-CN" w:bidi="ar"/>
              </w:rPr>
              <w:t>桥梁</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rPr>
              <w:t>具有住房和城乡建设部颁发的</w:t>
            </w:r>
            <w:r>
              <w:rPr>
                <w:rFonts w:hint="eastAsia" w:ascii="宋体" w:hAnsi="宋体" w:eastAsia="宋体" w:cs="宋体"/>
                <w:color w:val="auto"/>
                <w:sz w:val="18"/>
                <w:szCs w:val="18"/>
                <w:highlight w:val="none"/>
              </w:rPr>
              <w:t>施工</w:t>
            </w:r>
            <w:r>
              <w:rPr>
                <w:rFonts w:hint="eastAsia" w:ascii="宋体" w:hAnsi="宋体" w:eastAsia="宋体" w:cs="宋体"/>
                <w:color w:val="auto"/>
                <w:sz w:val="18"/>
                <w:szCs w:val="18"/>
                <w:highlight w:val="none"/>
                <w:lang w:eastAsia="zh-CN"/>
              </w:rPr>
              <w:t>劳务资质或公路工程施工</w:t>
            </w:r>
            <w:r>
              <w:rPr>
                <w:rFonts w:hint="eastAsia" w:ascii="宋体" w:hAnsi="宋体" w:eastAsia="宋体" w:cs="宋体"/>
                <w:color w:val="auto"/>
                <w:sz w:val="18"/>
                <w:szCs w:val="18"/>
                <w:highlight w:val="none"/>
              </w:rPr>
              <w:t>总承包三级及以上资质</w:t>
            </w:r>
          </w:p>
        </w:tc>
        <w:tc>
          <w:tcPr>
            <w:tcW w:w="33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）同时具有</w:t>
            </w:r>
            <w:r>
              <w:rPr>
                <w:rFonts w:hint="eastAsia" w:ascii="宋体" w:hAnsi="宋体" w:cs="宋体"/>
                <w:color w:val="auto"/>
                <w:sz w:val="18"/>
                <w:szCs w:val="18"/>
                <w:highlight w:val="none"/>
                <w:lang w:eastAsia="zh-CN"/>
              </w:rPr>
              <w:t>海拔</w:t>
            </w:r>
            <w:r>
              <w:rPr>
                <w:rFonts w:hint="eastAsia" w:ascii="宋体" w:hAnsi="宋体" w:cs="宋体"/>
                <w:color w:val="auto"/>
                <w:sz w:val="18"/>
                <w:szCs w:val="18"/>
                <w:highlight w:val="none"/>
                <w:lang w:val="en-US" w:eastAsia="zh-CN"/>
              </w:rPr>
              <w:t>2000米以上路基工程、</w:t>
            </w:r>
            <w:r>
              <w:rPr>
                <w:rFonts w:hint="eastAsia" w:ascii="宋体" w:hAnsi="宋体" w:eastAsia="宋体" w:cs="宋体"/>
                <w:color w:val="auto"/>
                <w:sz w:val="18"/>
                <w:szCs w:val="18"/>
                <w:highlight w:val="none"/>
              </w:rPr>
              <w:t>桥梁</w:t>
            </w:r>
            <w:r>
              <w:rPr>
                <w:rFonts w:hint="eastAsia" w:ascii="宋体" w:hAnsi="宋体" w:eastAsia="宋体" w:cs="宋体"/>
                <w:color w:val="auto"/>
                <w:sz w:val="18"/>
                <w:szCs w:val="18"/>
                <w:highlight w:val="none"/>
                <w:lang w:eastAsia="zh-CN"/>
              </w:rPr>
              <w:t>工程</w:t>
            </w:r>
            <w:r>
              <w:rPr>
                <w:rFonts w:hint="eastAsia" w:ascii="宋体" w:hAnsi="宋体" w:cs="宋体"/>
                <w:color w:val="auto"/>
                <w:sz w:val="18"/>
                <w:szCs w:val="18"/>
                <w:highlight w:val="none"/>
              </w:rPr>
              <w:t>施工业绩</w:t>
            </w:r>
          </w:p>
        </w:tc>
        <w:tc>
          <w:tcPr>
            <w:tcW w:w="11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r>
        <w:tblPrEx>
          <w:tblLayout w:type="fixed"/>
          <w:tblCellMar>
            <w:top w:w="0" w:type="dxa"/>
            <w:left w:w="0" w:type="dxa"/>
            <w:bottom w:w="0" w:type="dxa"/>
            <w:right w:w="0" w:type="dxa"/>
          </w:tblCellMar>
        </w:tblPrEx>
        <w:trPr>
          <w:trHeight w:val="1400" w:hRule="atLeast"/>
        </w:trPr>
        <w:tc>
          <w:tcPr>
            <w:tcW w:w="10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w:t>
            </w:r>
          </w:p>
        </w:tc>
        <w:tc>
          <w:tcPr>
            <w:tcW w:w="27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TJ5-6</w:t>
            </w:r>
          </w:p>
        </w:tc>
        <w:tc>
          <w:tcPr>
            <w:tcW w:w="22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隧道</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rPr>
              <w:t>具有住房和城乡建设部颁发的</w:t>
            </w:r>
            <w:r>
              <w:rPr>
                <w:rFonts w:hint="eastAsia" w:ascii="宋体" w:hAnsi="宋体" w:eastAsia="宋体" w:cs="宋体"/>
                <w:color w:val="auto"/>
                <w:sz w:val="18"/>
                <w:szCs w:val="18"/>
                <w:highlight w:val="none"/>
              </w:rPr>
              <w:t>施工</w:t>
            </w:r>
            <w:r>
              <w:rPr>
                <w:rFonts w:hint="eastAsia" w:ascii="宋体" w:hAnsi="宋体" w:eastAsia="宋体" w:cs="宋体"/>
                <w:color w:val="auto"/>
                <w:sz w:val="18"/>
                <w:szCs w:val="18"/>
                <w:highlight w:val="none"/>
                <w:lang w:eastAsia="zh-CN"/>
              </w:rPr>
              <w:t>劳务资质或公路工程施工</w:t>
            </w:r>
            <w:r>
              <w:rPr>
                <w:rFonts w:hint="eastAsia" w:ascii="宋体" w:hAnsi="宋体" w:eastAsia="宋体" w:cs="宋体"/>
                <w:color w:val="auto"/>
                <w:sz w:val="18"/>
                <w:szCs w:val="18"/>
                <w:highlight w:val="none"/>
              </w:rPr>
              <w:t>总承包三级及以上资质</w:t>
            </w:r>
          </w:p>
        </w:tc>
        <w:tc>
          <w:tcPr>
            <w:tcW w:w="33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）同时具有</w:t>
            </w:r>
            <w:r>
              <w:rPr>
                <w:rFonts w:hint="eastAsia" w:ascii="宋体" w:hAnsi="宋体" w:cs="宋体"/>
                <w:color w:val="auto"/>
                <w:sz w:val="18"/>
                <w:szCs w:val="18"/>
                <w:highlight w:val="none"/>
                <w:lang w:eastAsia="zh-CN"/>
              </w:rPr>
              <w:t>海拔</w:t>
            </w:r>
            <w:r>
              <w:rPr>
                <w:rFonts w:hint="eastAsia" w:ascii="宋体" w:hAnsi="宋体" w:cs="宋体"/>
                <w:color w:val="auto"/>
                <w:sz w:val="18"/>
                <w:szCs w:val="18"/>
                <w:highlight w:val="none"/>
                <w:lang w:val="en-US" w:eastAsia="zh-CN"/>
              </w:rPr>
              <w:t>2000米以上</w:t>
            </w:r>
            <w:r>
              <w:rPr>
                <w:rFonts w:hint="eastAsia" w:ascii="宋体" w:hAnsi="宋体" w:eastAsia="宋体" w:cs="宋体"/>
                <w:color w:val="auto"/>
                <w:sz w:val="18"/>
                <w:szCs w:val="18"/>
                <w:highlight w:val="none"/>
              </w:rPr>
              <w:t>隧道</w:t>
            </w:r>
            <w:r>
              <w:rPr>
                <w:rFonts w:hint="eastAsia" w:ascii="宋体" w:hAnsi="宋体" w:eastAsia="宋体" w:cs="宋体"/>
                <w:color w:val="auto"/>
                <w:sz w:val="18"/>
                <w:szCs w:val="18"/>
                <w:highlight w:val="none"/>
                <w:lang w:eastAsia="zh-CN"/>
              </w:rPr>
              <w:t>工程</w:t>
            </w:r>
            <w:r>
              <w:rPr>
                <w:rFonts w:hint="eastAsia" w:ascii="宋体" w:hAnsi="宋体" w:cs="宋体"/>
                <w:color w:val="auto"/>
                <w:sz w:val="18"/>
                <w:szCs w:val="18"/>
                <w:highlight w:val="none"/>
              </w:rPr>
              <w:t>施工业绩</w:t>
            </w:r>
          </w:p>
        </w:tc>
        <w:tc>
          <w:tcPr>
            <w:tcW w:w="11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17"/>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15"/>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投入人员配置表(最低要求）</w:t>
            </w:r>
          </w:p>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适用于TJ5-1、TJ5-6</w:t>
            </w:r>
            <w:r>
              <w:rPr>
                <w:rFonts w:hint="eastAsia" w:ascii="仿宋" w:hAnsi="仿宋" w:eastAsia="仿宋" w:cs="仿宋"/>
                <w:b/>
                <w:color w:val="auto"/>
                <w:kern w:val="0"/>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ind w:firstLine="0"/>
        <w:jc w:val="left"/>
        <w:rPr>
          <w:rFonts w:hint="eastAsia" w:ascii="宋体" w:hAnsi="宋体" w:eastAsia="宋体" w:cs="宋体"/>
          <w:b/>
          <w:color w:val="auto"/>
          <w:sz w:val="28"/>
          <w:szCs w:val="28"/>
          <w:highlight w:val="none"/>
          <w:lang w:eastAsia="zh-CN"/>
        </w:r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15"/>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i w:val="0"/>
                <w:color w:val="auto"/>
                <w:kern w:val="2"/>
                <w:sz w:val="28"/>
                <w:szCs w:val="28"/>
                <w:highlight w:val="none"/>
                <w:u w:val="none"/>
                <w:lang w:val="en-US" w:eastAsia="zh-CN" w:bidi="ar"/>
              </w:rPr>
              <w:t>适用于</w:t>
            </w:r>
            <w:r>
              <w:rPr>
                <w:rFonts w:hint="eastAsia" w:ascii="仿宋" w:hAnsi="仿宋" w:eastAsia="仿宋" w:cs="仿宋"/>
                <w:b/>
                <w:bCs/>
                <w:color w:val="auto"/>
                <w:kern w:val="2"/>
                <w:sz w:val="28"/>
                <w:szCs w:val="28"/>
                <w:highlight w:val="none"/>
                <w:u w:val="none"/>
                <w:lang w:val="en-US" w:eastAsia="zh-CN" w:bidi="ar"/>
              </w:rPr>
              <w:t>TJ5-1</w:t>
            </w:r>
            <w:r>
              <w:rPr>
                <w:rFonts w:hint="eastAsia" w:ascii="仿宋" w:hAnsi="仿宋" w:eastAsia="仿宋" w:cs="仿宋"/>
                <w:b/>
                <w:bCs/>
                <w:color w:val="auto"/>
                <w:kern w:val="2"/>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289" w:hRule="atLeast"/>
        </w:trPr>
        <w:tc>
          <w:tcPr>
            <w:tcW w:w="10020" w:type="dxa"/>
            <w:tcBorders>
              <w:tl2br w:val="nil"/>
              <w:tr2bl w:val="nil"/>
            </w:tcBorders>
            <w:tcMar>
              <w:top w:w="15" w:type="dxa"/>
              <w:left w:w="15" w:type="dxa"/>
              <w:right w:w="15" w:type="dxa"/>
            </w:tcMar>
            <w:vAlign w:val="center"/>
          </w:tcPr>
          <w:p>
            <w:pPr>
              <w:keepNext w:val="0"/>
              <w:keepLines w:val="0"/>
              <w:widowControl/>
              <w:numPr>
                <w:ilvl w:val="-1"/>
                <w:numId w:val="0"/>
              </w:numPr>
              <w:suppressLineNumbers w:val="0"/>
              <w:jc w:val="left"/>
              <w:textAlignment w:val="auto"/>
              <w:rPr>
                <w:rFonts w:hint="eastAsia"/>
                <w:color w:val="auto"/>
                <w:highlight w:val="none"/>
                <w:lang w:val="en-US" w:eastAsia="zh-CN"/>
              </w:rPr>
            </w:pPr>
          </w:p>
          <w:p>
            <w:pPr>
              <w:widowControl/>
              <w:numPr>
                <w:ilvl w:val="-1"/>
                <w:numId w:val="0"/>
              </w:numPr>
              <w:ind w:firstLine="0"/>
              <w:jc w:val="left"/>
              <w:textAlignment w:val="auto"/>
              <w:rPr>
                <w:rFonts w:hint="eastAsia"/>
                <w:color w:val="auto"/>
                <w:highlight w:val="none"/>
              </w:rPr>
            </w:pPr>
          </w:p>
          <w:tbl>
            <w:tblPr>
              <w:tblStyle w:val="15"/>
              <w:tblW w:w="9380" w:type="dxa"/>
              <w:tblInd w:w="2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9"/>
              <w:gridCol w:w="1363"/>
              <w:gridCol w:w="763"/>
              <w:gridCol w:w="1046"/>
              <w:gridCol w:w="912"/>
              <w:gridCol w:w="827"/>
              <w:gridCol w:w="1130"/>
              <w:gridCol w:w="777"/>
              <w:gridCol w:w="775"/>
              <w:gridCol w:w="10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6" w:hRule="atLeast"/>
              </w:trPr>
              <w:tc>
                <w:tcPr>
                  <w:tcW w:w="689"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序号</w:t>
                  </w:r>
                </w:p>
              </w:tc>
              <w:tc>
                <w:tcPr>
                  <w:tcW w:w="1363"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763"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规格、型号</w:t>
                  </w:r>
                </w:p>
              </w:tc>
              <w:tc>
                <w:tcPr>
                  <w:tcW w:w="104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eastAsia="zh-CN"/>
                    </w:rPr>
                    <w:t>单位</w:t>
                  </w:r>
                </w:p>
              </w:tc>
              <w:tc>
                <w:tcPr>
                  <w:tcW w:w="1739"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基本要求</w:t>
                  </w:r>
                </w:p>
              </w:tc>
              <w:tc>
                <w:tcPr>
                  <w:tcW w:w="1130"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每增加一台自有设备加分值</w:t>
                  </w:r>
                </w:p>
              </w:tc>
              <w:tc>
                <w:tcPr>
                  <w:tcW w:w="777"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加分上限</w:t>
                  </w:r>
                </w:p>
              </w:tc>
              <w:tc>
                <w:tcPr>
                  <w:tcW w:w="77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出厂日期</w:t>
                  </w:r>
                </w:p>
              </w:tc>
              <w:tc>
                <w:tcPr>
                  <w:tcW w:w="1098"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6" w:hRule="atLeast"/>
              </w:trPr>
              <w:tc>
                <w:tcPr>
                  <w:tcW w:w="689"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rPr>
                  </w:pPr>
                </w:p>
              </w:tc>
              <w:tc>
                <w:tcPr>
                  <w:tcW w:w="136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rPr>
                  </w:pPr>
                </w:p>
              </w:tc>
              <w:tc>
                <w:tcPr>
                  <w:tcW w:w="76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rPr>
                  </w:pPr>
                </w:p>
              </w:tc>
              <w:tc>
                <w:tcPr>
                  <w:tcW w:w="104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rPr>
                  </w:pP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总数量</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w:t>
                  </w:r>
                </w:p>
              </w:tc>
              <w:tc>
                <w:tcPr>
                  <w:tcW w:w="1130"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sz w:val="18"/>
                      <w:szCs w:val="18"/>
                      <w:highlight w:val="none"/>
                      <w:lang w:val="en-US" w:eastAsia="zh-CN"/>
                    </w:rPr>
                  </w:pPr>
                </w:p>
              </w:tc>
              <w:tc>
                <w:tcPr>
                  <w:tcW w:w="77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sz w:val="18"/>
                      <w:szCs w:val="18"/>
                      <w:highlight w:val="none"/>
                      <w:lang w:val="en-US" w:eastAsia="zh-CN"/>
                    </w:rPr>
                  </w:pPr>
                </w:p>
              </w:tc>
              <w:tc>
                <w:tcPr>
                  <w:tcW w:w="775"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lang w:val="en-US" w:eastAsia="zh-CN"/>
                    </w:rPr>
                  </w:pPr>
                </w:p>
              </w:tc>
              <w:tc>
                <w:tcPr>
                  <w:tcW w:w="1098"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5"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挖掘机</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220</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77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2015年1月后</w:t>
                  </w:r>
                </w:p>
              </w:tc>
              <w:tc>
                <w:tcPr>
                  <w:tcW w:w="1098"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推土机</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TY220</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2</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压路机</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20T</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3</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0.25</w:t>
                  </w: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装载机</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50型</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3</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0.25</w:t>
                  </w: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5</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吊车</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25T</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6</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平地机</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PY180</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7</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right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旋挖钻</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right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rightChars="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rPr>
                    <w:t>8</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洒水车</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r>
                    <w:rPr>
                      <w:rFonts w:hint="eastAsia" w:ascii="宋体" w:hAnsi="宋体" w:eastAsia="宋体" w:cs="宋体"/>
                      <w:color w:val="auto"/>
                      <w:sz w:val="18"/>
                      <w:szCs w:val="18"/>
                      <w:highlight w:val="none"/>
                      <w:lang w:val="en-US" w:eastAsia="zh-CN"/>
                    </w:rPr>
                    <w:t>m³</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辆</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2</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9</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自卸车</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w:t>
                  </w:r>
                  <w:r>
                    <w:rPr>
                      <w:rFonts w:hint="eastAsia" w:ascii="宋体" w:hAnsi="宋体" w:eastAsia="宋体" w:cs="宋体"/>
                      <w:color w:val="auto"/>
                      <w:sz w:val="18"/>
                      <w:szCs w:val="18"/>
                      <w:highlight w:val="none"/>
                      <w:lang w:val="en-US" w:eastAsia="zh-CN"/>
                    </w:rPr>
                    <w:t>m³</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辆</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16</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勾机</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400</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rPr>
                    <w:t>1</w:t>
                  </w:r>
                  <w:r>
                    <w:rPr>
                      <w:rFonts w:hint="eastAsia" w:ascii="宋体" w:hAnsi="宋体" w:eastAsia="宋体" w:cs="宋体"/>
                      <w:color w:val="auto"/>
                      <w:sz w:val="18"/>
                      <w:szCs w:val="18"/>
                      <w:highlight w:val="none"/>
                      <w:lang w:val="en-US" w:eastAsia="zh-CN"/>
                    </w:rPr>
                    <w:t>1</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冲击钻</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0.25</w:t>
                  </w: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12</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拌合</w:t>
                  </w:r>
                  <w:r>
                    <w:rPr>
                      <w:rFonts w:hint="eastAsia" w:ascii="宋体" w:hAnsi="宋体" w:cs="宋体"/>
                      <w:color w:val="auto"/>
                      <w:sz w:val="18"/>
                      <w:szCs w:val="18"/>
                      <w:highlight w:val="none"/>
                      <w:lang w:val="en-US" w:eastAsia="zh-CN"/>
                    </w:rPr>
                    <w:t>楼</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1</w:t>
                  </w:r>
                  <w:r>
                    <w:rPr>
                      <w:rFonts w:hint="eastAsia" w:ascii="宋体" w:hAnsi="宋体" w:eastAsia="宋体" w:cs="宋体"/>
                      <w:color w:val="auto"/>
                      <w:sz w:val="18"/>
                      <w:szCs w:val="18"/>
                      <w:highlight w:val="none"/>
                      <w:lang w:val="en-US" w:eastAsia="zh-CN"/>
                    </w:rPr>
                    <w:t>20</w:t>
                  </w:r>
                  <w:r>
                    <w:rPr>
                      <w:rFonts w:hint="eastAsia" w:ascii="宋体" w:hAnsi="宋体" w:eastAsia="宋体" w:cs="宋体"/>
                      <w:color w:val="auto"/>
                      <w:sz w:val="18"/>
                      <w:szCs w:val="18"/>
                      <w:highlight w:val="none"/>
                    </w:rPr>
                    <w:t>型</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13</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砼运输车</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10方</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辆</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16</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14</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rPr>
                    <w:t>龙门吊</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10T</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15</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rPr>
                    <w:t>污水处理设备</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w:t>
                  </w: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套</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16</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rPr>
                    <w:t>砂石分离机</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辆</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17</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数控钢筋笼焊机</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38"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18</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数控钢筋锯切套丝生产线（锯切、镦粗、打磨、套丝）</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top w:val="single" w:color="auto" w:sz="4" w:space="0"/>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top w:val="single" w:color="auto" w:sz="4" w:space="0"/>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19</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全自动数控钢筋弯箍机</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20</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立式数控钢筋弯曲中心</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2" w:hRule="atLeast"/>
              </w:trPr>
              <w:tc>
                <w:tcPr>
                  <w:tcW w:w="68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21</w:t>
                  </w:r>
                </w:p>
              </w:tc>
              <w:tc>
                <w:tcPr>
                  <w:tcW w:w="13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平板车</w:t>
                  </w:r>
                </w:p>
              </w:tc>
              <w:tc>
                <w:tcPr>
                  <w:tcW w:w="7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p>
              </w:tc>
              <w:tc>
                <w:tcPr>
                  <w:tcW w:w="10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台</w:t>
                  </w:r>
                </w:p>
              </w:tc>
              <w:tc>
                <w:tcPr>
                  <w:tcW w:w="9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82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sz w:val="18"/>
                      <w:szCs w:val="18"/>
                      <w:highlight w:val="none"/>
                      <w:lang w:val="en-US" w:eastAsia="zh-CN"/>
                    </w:rPr>
                  </w:pPr>
                </w:p>
              </w:tc>
              <w:tc>
                <w:tcPr>
                  <w:tcW w:w="113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sz w:val="18"/>
                      <w:szCs w:val="18"/>
                      <w:highlight w:val="none"/>
                      <w:lang w:val="en-US" w:eastAsia="zh-CN"/>
                    </w:rPr>
                  </w:pPr>
                </w:p>
              </w:tc>
              <w:tc>
                <w:tcPr>
                  <w:tcW w:w="775"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sz w:val="18"/>
                      <w:szCs w:val="18"/>
                      <w:highlight w:val="none"/>
                      <w:lang w:val="en-US" w:eastAsia="zh-CN"/>
                    </w:rPr>
                  </w:pPr>
                </w:p>
              </w:tc>
              <w:tc>
                <w:tcPr>
                  <w:tcW w:w="1098" w:type="dxa"/>
                  <w:vMerge w:val="continue"/>
                  <w:tcBorders>
                    <w:left w:val="single" w:color="000000" w:sz="4" w:space="0"/>
                    <w:bottom w:val="single" w:color="auto"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sz w:val="18"/>
                      <w:szCs w:val="18"/>
                      <w:highlight w:val="none"/>
                      <w:lang w:val="en-US" w:eastAsia="zh-CN"/>
                    </w:rPr>
                  </w:pPr>
                </w:p>
              </w:tc>
            </w:tr>
          </w:tbl>
          <w:p>
            <w:pPr>
              <w:keepNext w:val="0"/>
              <w:keepLines w:val="0"/>
              <w:widowControl/>
              <w:numPr>
                <w:ilvl w:val="-1"/>
                <w:numId w:val="0"/>
              </w:numPr>
              <w:suppressLineNumbers w:val="0"/>
              <w:jc w:val="left"/>
              <w:textAlignment w:val="auto"/>
              <w:rPr>
                <w:rFonts w:hint="eastAsia"/>
                <w:color w:val="auto"/>
                <w:highlight w:val="none"/>
                <w:lang w:val="en-US" w:eastAsia="zh-CN"/>
              </w:rPr>
            </w:pPr>
          </w:p>
          <w:p>
            <w:pPr>
              <w:keepNext w:val="0"/>
              <w:keepLines w:val="0"/>
              <w:widowControl/>
              <w:numPr>
                <w:ilvl w:val="-1"/>
                <w:numId w:val="0"/>
              </w:numPr>
              <w:suppressLineNumbers w:val="0"/>
              <w:jc w:val="left"/>
              <w:textAlignment w:val="auto"/>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注：1、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widowControl/>
              <w:numPr>
                <w:ilvl w:val="-1"/>
                <w:numId w:val="0"/>
              </w:numPr>
              <w:jc w:val="left"/>
              <w:textAlignment w:val="auto"/>
              <w:rPr>
                <w:rFonts w:hint="eastAsia" w:ascii="宋体" w:hAnsi="宋体" w:cs="宋体"/>
                <w:color w:val="auto"/>
                <w:kern w:val="0"/>
                <w:sz w:val="18"/>
                <w:szCs w:val="18"/>
                <w:highlight w:val="none"/>
                <w:u w:val="none"/>
                <w:lang w:val="en-US" w:eastAsia="zh-CN" w:bidi="ar"/>
              </w:rPr>
            </w:pPr>
            <w:r>
              <w:rPr>
                <w:rFonts w:hint="eastAsia"/>
                <w:color w:val="auto"/>
                <w:sz w:val="18"/>
                <w:szCs w:val="18"/>
                <w:highlight w:val="none"/>
                <w:lang w:val="en-US" w:eastAsia="zh-CN"/>
              </w:rPr>
              <w:t>2、本表中的总数量为承包人中标后向发包人承诺的投入最低设备要求，并以书面形式纳入合同附件。</w:t>
            </w:r>
          </w:p>
        </w:tc>
      </w:tr>
    </w:tbl>
    <w:p>
      <w:pPr>
        <w:pStyle w:val="2"/>
        <w:ind w:firstLine="0"/>
        <w:jc w:val="left"/>
        <w:rPr>
          <w:rFonts w:hint="eastAsia" w:ascii="宋体" w:hAnsi="宋体" w:eastAsia="宋体" w:cs="宋体"/>
          <w:b/>
          <w:color w:val="auto"/>
          <w:sz w:val="28"/>
          <w:szCs w:val="28"/>
          <w:highlight w:val="none"/>
          <w:lang w:eastAsia="zh-CN"/>
        </w:rPr>
      </w:pPr>
      <w:r>
        <w:rPr>
          <w:rFonts w:hint="eastAsia" w:ascii="仿宋" w:hAnsi="仿宋" w:eastAsia="仿宋" w:cs="仿宋"/>
          <w:b/>
          <w:bCs/>
          <w:color w:val="auto"/>
          <w:sz w:val="32"/>
          <w:szCs w:val="32"/>
          <w:highlight w:val="none"/>
        </w:rPr>
        <w:br w:type="page"/>
      </w:r>
      <w:r>
        <w:rPr>
          <w:rFonts w:hint="eastAsia" w:ascii="宋体" w:hAnsi="宋体" w:eastAsia="宋体" w:cs="宋体"/>
          <w:b/>
          <w:color w:val="auto"/>
          <w:sz w:val="28"/>
          <w:szCs w:val="28"/>
          <w:highlight w:val="none"/>
          <w:lang w:eastAsia="zh-CN"/>
        </w:rPr>
        <w:t>附表四</w:t>
      </w:r>
    </w:p>
    <w:p>
      <w:pPr>
        <w:pStyle w:val="17"/>
        <w:tabs>
          <w:tab w:val="right" w:leader="dot" w:pos="8306"/>
        </w:tabs>
        <w:jc w:val="center"/>
        <w:rPr>
          <w:rFonts w:ascii="等线" w:hAnsi="等线" w:eastAsia="等线" w:cs="等线"/>
          <w:b/>
          <w:bCs/>
          <w:color w:val="auto"/>
          <w:sz w:val="28"/>
          <w:szCs w:val="28"/>
          <w:highlight w:val="none"/>
          <w:lang w:bidi="zh-CN"/>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pStyle w:val="2"/>
        <w:ind w:firstLine="0"/>
        <w:jc w:val="center"/>
        <w:rPr>
          <w:rFonts w:hint="eastAsia" w:ascii="宋体" w:hAnsi="宋体" w:eastAsia="宋体" w:cs="宋体"/>
          <w:b/>
          <w:color w:val="auto"/>
          <w:sz w:val="28"/>
          <w:szCs w:val="28"/>
          <w:highlight w:val="none"/>
          <w:lang w:val="en-US" w:eastAsia="zh-CN"/>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cs="仿宋"/>
          <w:b/>
          <w:color w:val="auto"/>
          <w:sz w:val="28"/>
          <w:szCs w:val="28"/>
          <w:highlight w:val="none"/>
          <w:u w:val="none"/>
          <w:lang w:val="en-US" w:eastAsia="zh-CN" w:bidi="ar"/>
        </w:rPr>
        <w:t>TJ</w:t>
      </w:r>
      <w:r>
        <w:rPr>
          <w:rFonts w:hint="eastAsia" w:cs="仿宋"/>
          <w:b/>
          <w:color w:val="auto"/>
          <w:sz w:val="28"/>
          <w:szCs w:val="28"/>
          <w:highlight w:val="none"/>
          <w:u w:val="none"/>
          <w:lang w:val="en-US" w:eastAsia="zh-CN" w:bidi="ar"/>
        </w:rPr>
        <w:t>5-6</w:t>
      </w:r>
      <w:r>
        <w:rPr>
          <w:rFonts w:hint="eastAsia" w:cs="仿宋"/>
          <w:b/>
          <w:color w:val="auto"/>
          <w:kern w:val="0"/>
          <w:sz w:val="28"/>
          <w:szCs w:val="28"/>
          <w:highlight w:val="none"/>
          <w:u w:val="none"/>
          <w:lang w:eastAsia="zh-CN" w:bidi="ar"/>
        </w:rPr>
        <w:t>分段</w:t>
      </w:r>
    </w:p>
    <w:tbl>
      <w:tblPr>
        <w:tblStyle w:val="15"/>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16"/>
              <w:kinsoku w:val="0"/>
              <w:overflowPunct w:val="0"/>
              <w:spacing w:beforeLines="0" w:afterLines="0" w:line="260" w:lineRule="exact"/>
              <w:ind w:left="0" w:right="0"/>
              <w:jc w:val="center"/>
              <w:rPr>
                <w:rFonts w:hint="eastAsia" w:eastAsia="宋体"/>
                <w:color w:val="auto"/>
                <w:sz w:val="18"/>
                <w:szCs w:val="18"/>
                <w:highlight w:val="none"/>
                <w:lang w:eastAsia="zh-CN"/>
              </w:rPr>
            </w:pPr>
            <w:r>
              <w:rPr>
                <w:rFonts w:hint="eastAsia"/>
                <w:color w:val="auto"/>
                <w:sz w:val="18"/>
                <w:szCs w:val="18"/>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16"/>
              <w:kinsoku w:val="0"/>
              <w:overflowPunct w:val="0"/>
              <w:spacing w:beforeLines="0" w:afterLines="0" w:line="260" w:lineRule="exact"/>
              <w:ind w:left="0"/>
              <w:jc w:val="center"/>
              <w:rPr>
                <w:rFonts w:hint="eastAsia"/>
                <w:color w:val="auto"/>
                <w:sz w:val="18"/>
                <w:szCs w:val="18"/>
                <w:highlight w:val="none"/>
              </w:rPr>
            </w:pPr>
            <w:r>
              <w:rPr>
                <w:rFonts w:hint="eastAsia"/>
                <w:color w:val="auto"/>
                <w:sz w:val="18"/>
                <w:szCs w:val="18"/>
                <w:highlight w:val="none"/>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rPr>
            </w:pPr>
            <w:r>
              <w:rPr>
                <w:rFonts w:hint="eastAsia" w:ascii="宋体" w:hAnsi="宋体" w:cs="宋体"/>
                <w:bCs/>
                <w:color w:val="auto"/>
                <w:sz w:val="18"/>
                <w:szCs w:val="18"/>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bidi="ar-SA"/>
              </w:rPr>
            </w:pPr>
            <w:r>
              <w:rPr>
                <w:rFonts w:hint="eastAsia" w:ascii="宋体" w:hAnsi="宋体" w:cs="宋体"/>
                <w:bCs/>
                <w:color w:val="auto"/>
                <w:sz w:val="18"/>
                <w:szCs w:val="18"/>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6"/>
              <w:spacing w:beforeLines="0" w:afterLines="0" w:line="260" w:lineRule="exact"/>
              <w:ind w:firstLine="180" w:firstLineChars="100"/>
              <w:jc w:val="center"/>
              <w:rPr>
                <w:rFonts w:hint="eastAsia" w:ascii="宋体" w:hAnsi="宋体" w:cs="宋体"/>
                <w:bCs/>
                <w:color w:val="auto"/>
                <w:sz w:val="18"/>
                <w:szCs w:val="18"/>
                <w:highlight w:val="none"/>
                <w:lang w:val="en-US" w:eastAsia="zh-CN" w:bidi="ar-SA"/>
              </w:rPr>
            </w:pPr>
            <w:r>
              <w:rPr>
                <w:rFonts w:hint="eastAsia" w:ascii="宋体" w:hAnsi="宋体" w:cs="宋体"/>
                <w:bCs w:val="0"/>
                <w:color w:val="auto"/>
                <w:sz w:val="18"/>
                <w:szCs w:val="18"/>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18"/>
                <w:szCs w:val="18"/>
                <w:highlight w:val="none"/>
                <w:lang w:val="en-US" w:eastAsia="zh-CN" w:bidi="ar-SA"/>
              </w:rPr>
            </w:pPr>
            <w:r>
              <w:rPr>
                <w:rFonts w:hint="eastAsia" w:ascii="宋体" w:hAnsi="宋体" w:cs="宋体"/>
                <w:color w:val="auto"/>
                <w:sz w:val="18"/>
                <w:szCs w:val="18"/>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eastAsia" w:cs="宋体"/>
                <w:bCs w:val="0"/>
                <w:color w:val="auto"/>
                <w:sz w:val="18"/>
                <w:szCs w:val="18"/>
                <w:highlight w:val="none"/>
                <w:lang w:val="en-US" w:eastAsia="zh-CN" w:bidi="ar-SA"/>
              </w:rPr>
            </w:pPr>
            <w:r>
              <w:rPr>
                <w:rFonts w:hint="eastAsia" w:cs="宋体"/>
                <w:bCs w:val="0"/>
                <w:color w:val="auto"/>
                <w:sz w:val="18"/>
                <w:szCs w:val="18"/>
                <w:highlight w:val="none"/>
                <w:lang w:val="en-US" w:eastAsia="zh-CN" w:bidi="ar-SA"/>
              </w:rPr>
              <w:t>加分上限</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eastAsia" w:ascii="宋体" w:hAnsi="宋体" w:cs="宋体"/>
                <w:bCs w:val="0"/>
                <w:color w:val="auto"/>
                <w:sz w:val="18"/>
                <w:szCs w:val="18"/>
                <w:highlight w:val="none"/>
                <w:lang w:val="en-US" w:eastAsia="zh-CN" w:bidi="ar-SA"/>
              </w:rPr>
            </w:pPr>
            <w:r>
              <w:rPr>
                <w:rFonts w:hint="eastAsia" w:cs="宋体"/>
                <w:bCs w:val="0"/>
                <w:color w:val="auto"/>
                <w:sz w:val="18"/>
                <w:szCs w:val="18"/>
                <w:highlight w:val="none"/>
                <w:lang w:val="en-US" w:eastAsia="zh-CN" w:bidi="ar-SA"/>
              </w:rPr>
              <w:t>出厂日期</w:t>
            </w:r>
          </w:p>
        </w:tc>
        <w:tc>
          <w:tcPr>
            <w:tcW w:w="1200" w:type="dxa"/>
            <w:vMerge w:val="restart"/>
            <w:tcBorders>
              <w:top w:val="single" w:color="000000" w:sz="4" w:space="0"/>
              <w:left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eastAsia" w:ascii="宋体" w:hAnsi="宋体" w:cs="宋体"/>
                <w:bCs w:val="0"/>
                <w:color w:val="auto"/>
                <w:sz w:val="18"/>
                <w:szCs w:val="18"/>
                <w:highlight w:val="none"/>
                <w:lang w:val="en-US" w:eastAsia="zh-CN" w:bidi="ar-SA"/>
              </w:rPr>
            </w:pPr>
            <w:r>
              <w:rPr>
                <w:rFonts w:hint="eastAsia" w:cs="宋体"/>
                <w:bCs w:val="0"/>
                <w:color w:val="auto"/>
                <w:sz w:val="18"/>
                <w:szCs w:val="18"/>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18"/>
                <w:szCs w:val="18"/>
                <w:highlight w:val="none"/>
              </w:rPr>
            </w:pPr>
          </w:p>
        </w:tc>
        <w:tc>
          <w:tcPr>
            <w:tcW w:w="158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18"/>
                <w:szCs w:val="18"/>
                <w:highlight w:val="none"/>
              </w:rPr>
            </w:pPr>
          </w:p>
        </w:tc>
        <w:tc>
          <w:tcPr>
            <w:tcW w:w="96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18"/>
                <w:szCs w:val="18"/>
                <w:highlight w:val="none"/>
              </w:rPr>
            </w:pPr>
          </w:p>
        </w:tc>
        <w:tc>
          <w:tcPr>
            <w:tcW w:w="8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18"/>
                <w:szCs w:val="18"/>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spacing w:beforeLines="0" w:afterLines="0" w:line="260" w:lineRule="exact"/>
              <w:ind w:firstLine="0" w:firstLineChars="0"/>
              <w:jc w:val="center"/>
              <w:rPr>
                <w:rFonts w:hint="eastAsia" w:ascii="宋体" w:hAnsi="宋体" w:cs="宋体"/>
                <w:bCs/>
                <w:color w:val="auto"/>
                <w:sz w:val="18"/>
                <w:szCs w:val="18"/>
                <w:highlight w:val="none"/>
                <w:lang w:val="en-US" w:eastAsia="zh-CN" w:bidi="ar-SA"/>
              </w:rPr>
            </w:pPr>
            <w:r>
              <w:rPr>
                <w:rFonts w:hint="eastAsia" w:cs="宋体"/>
                <w:bCs w:val="0"/>
                <w:color w:val="auto"/>
                <w:sz w:val="18"/>
                <w:szCs w:val="18"/>
                <w:highlight w:val="none"/>
                <w:lang w:val="en-US" w:eastAsia="zh-CN" w:bidi="ar-SA"/>
              </w:rPr>
              <w:t>总</w:t>
            </w:r>
            <w:r>
              <w:rPr>
                <w:rFonts w:hint="eastAsia" w:ascii="宋体" w:hAnsi="宋体" w:cs="宋体"/>
                <w:bCs w:val="0"/>
                <w:color w:val="auto"/>
                <w:sz w:val="18"/>
                <w:szCs w:val="18"/>
                <w:highlight w:val="none"/>
                <w:lang w:val="en-US" w:eastAsia="zh-CN" w:bidi="ar-SA"/>
              </w:rPr>
              <w:t>数量</w:t>
            </w:r>
          </w:p>
        </w:tc>
        <w:tc>
          <w:tcPr>
            <w:tcW w:w="816" w:type="dxa"/>
            <w:tcBorders>
              <w:left w:val="single" w:color="000000" w:sz="4" w:space="0"/>
              <w:bottom w:val="single" w:color="000000" w:sz="4" w:space="0"/>
              <w:right w:val="single" w:color="000000" w:sz="4" w:space="0"/>
              <w:tl2br w:val="nil"/>
              <w:tr2bl w:val="nil"/>
            </w:tcBorders>
            <w:vAlign w:val="center"/>
          </w:tcPr>
          <w:p>
            <w:pPr>
              <w:pStyle w:val="16"/>
              <w:spacing w:beforeLines="0" w:afterLines="0" w:line="260" w:lineRule="exact"/>
              <w:ind w:firstLine="0" w:firstLineChars="0"/>
              <w:jc w:val="center"/>
              <w:rPr>
                <w:rFonts w:hint="eastAsia" w:ascii="宋体" w:hAnsi="宋体" w:cs="宋体"/>
                <w:bCs/>
                <w:color w:val="auto"/>
                <w:sz w:val="18"/>
                <w:szCs w:val="18"/>
                <w:highlight w:val="none"/>
                <w:lang w:val="en-US" w:eastAsia="zh-CN" w:bidi="ar-SA"/>
              </w:rPr>
            </w:pPr>
            <w:r>
              <w:rPr>
                <w:rFonts w:hint="eastAsia" w:ascii="宋体" w:hAnsi="宋体" w:cs="宋体"/>
                <w:bCs w:val="0"/>
                <w:color w:val="auto"/>
                <w:sz w:val="18"/>
                <w:szCs w:val="18"/>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bidi="ar-SA"/>
              </w:rPr>
            </w:pPr>
          </w:p>
        </w:tc>
        <w:tc>
          <w:tcPr>
            <w:tcW w:w="71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bidi="ar-SA"/>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挖掘机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sz w:val="18"/>
                <w:szCs w:val="18"/>
                <w:highlight w:val="none"/>
                <w:lang w:val="en-US"/>
              </w:rPr>
            </w:pPr>
            <w:r>
              <w:rPr>
                <w:rFonts w:hint="eastAsia" w:ascii="宋体" w:hAnsi="宋体" w:cs="宋体"/>
                <w:bCs/>
                <w:color w:val="auto"/>
                <w:sz w:val="18"/>
                <w:szCs w:val="18"/>
                <w:highlight w:val="none"/>
                <w:lang w:val="en-US"/>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1</w:t>
            </w:r>
          </w:p>
        </w:tc>
        <w:tc>
          <w:tcPr>
            <w:tcW w:w="716"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color w:val="auto"/>
                <w:sz w:val="18"/>
                <w:szCs w:val="18"/>
                <w:highlight w:val="none"/>
                <w:lang w:val="en-US" w:eastAsia="zh-CN"/>
              </w:rPr>
              <w:t>2015年1月后</w:t>
            </w:r>
          </w:p>
        </w:tc>
        <w:tc>
          <w:tcPr>
            <w:tcW w:w="120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rPr>
              <w:t>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侧卸式装载机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rPr>
              <w:t>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砼喷射泵</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70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Cs w:val="0"/>
                <w:color w:val="auto"/>
                <w:sz w:val="18"/>
                <w:szCs w:val="18"/>
                <w:highlight w:val="none"/>
                <w:lang w:val="en-US" w:eastAsia="zh-CN" w:bidi="zh-CN"/>
              </w:rPr>
            </w:pPr>
            <w:r>
              <w:rPr>
                <w:rFonts w:hint="eastAsia" w:ascii="宋体" w:hAnsi="宋体" w:cs="宋体"/>
                <w:bCs w:val="0"/>
                <w:color w:val="auto"/>
                <w:sz w:val="18"/>
                <w:szCs w:val="18"/>
                <w:highlight w:val="none"/>
                <w:lang w:val="en-US" w:eastAsia="zh-CN" w:bidi="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Cs w:val="0"/>
                <w:color w:val="auto"/>
                <w:sz w:val="18"/>
                <w:szCs w:val="18"/>
                <w:highlight w:val="none"/>
                <w:lang w:val="en-US" w:eastAsia="zh-CN" w:bidi="zh-CN"/>
              </w:rPr>
            </w:pPr>
            <w:r>
              <w:rPr>
                <w:rFonts w:hint="eastAsia" w:ascii="宋体" w:hAnsi="宋体" w:cs="宋体"/>
                <w:bCs w:val="0"/>
                <w:color w:val="auto"/>
                <w:sz w:val="18"/>
                <w:szCs w:val="18"/>
                <w:highlight w:val="none"/>
                <w:lang w:val="en-US" w:eastAsia="zh-CN" w:bidi="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18"/>
                <w:szCs w:val="18"/>
                <w:highlight w:val="none"/>
                <w:lang w:val="en-US" w:eastAsia="zh-CN" w:bidi="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rPr>
              <w:t>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衬砌台车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12m</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rPr>
              <w:t>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空压机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22</w:t>
            </w:r>
            <w:r>
              <w:rPr>
                <w:rFonts w:hint="eastAsia" w:ascii="宋体" w:hAnsi="宋体" w:cs="宋体"/>
                <w:bCs/>
                <w:color w:val="auto"/>
                <w:sz w:val="18"/>
                <w:szCs w:val="18"/>
                <w:highlight w:val="none"/>
                <w:lang w:eastAsia="zh-CN"/>
              </w:rPr>
              <w:t>m³</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sz w:val="18"/>
                <w:szCs w:val="18"/>
                <w:highlight w:val="none"/>
                <w:lang w:eastAsia="zh-CN"/>
              </w:rPr>
            </w:pPr>
            <w:r>
              <w:rPr>
                <w:rFonts w:hint="eastAsia" w:ascii="宋体" w:hAnsi="宋体" w:cs="宋体"/>
                <w:bCs/>
                <w:color w:val="auto"/>
                <w:sz w:val="18"/>
                <w:szCs w:val="18"/>
                <w:highlight w:val="none"/>
                <w:lang w:eastAsia="zh-CN"/>
              </w:rPr>
              <w:t>发电机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rPr>
            </w:pPr>
            <w:r>
              <w:rPr>
                <w:rFonts w:hint="eastAsia" w:ascii="宋体" w:hAnsi="宋体" w:cs="宋体"/>
                <w:bCs/>
                <w:color w:val="auto"/>
                <w:sz w:val="18"/>
                <w:szCs w:val="18"/>
                <w:highlight w:val="none"/>
              </w:rPr>
              <w:t>200KW</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eastAsia="zh-CN"/>
              </w:rPr>
            </w:pPr>
            <w:r>
              <w:rPr>
                <w:rFonts w:hint="eastAsia" w:ascii="宋体" w:hAnsi="宋体" w:cs="宋体"/>
                <w:bCs/>
                <w:color w:val="auto"/>
                <w:sz w:val="18"/>
                <w:szCs w:val="18"/>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sz w:val="18"/>
                <w:szCs w:val="18"/>
                <w:highlight w:val="none"/>
                <w:lang w:eastAsia="zh-CN"/>
              </w:rPr>
            </w:pPr>
            <w:r>
              <w:rPr>
                <w:rFonts w:hint="eastAsia" w:ascii="宋体" w:hAnsi="宋体" w:cs="宋体"/>
                <w:bCs/>
                <w:color w:val="auto"/>
                <w:sz w:val="18"/>
                <w:szCs w:val="18"/>
                <w:highlight w:val="none"/>
                <w:lang w:eastAsia="zh-CN"/>
              </w:rPr>
              <w:t>自卸车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lang w:val="en-US" w:eastAsia="zh-CN"/>
              </w:rPr>
              <w:t>20</w:t>
            </w:r>
            <w:r>
              <w:rPr>
                <w:rFonts w:hint="eastAsia" w:ascii="宋体" w:hAnsi="宋体" w:eastAsia="宋体" w:cs="宋体"/>
                <w:color w:val="auto"/>
                <w:sz w:val="18"/>
                <w:szCs w:val="18"/>
                <w:highlight w:val="none"/>
                <w:lang w:eastAsia="zh-CN"/>
              </w:rPr>
              <w:t>m³</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eastAsia="zh-CN"/>
              </w:rPr>
            </w:pPr>
            <w:r>
              <w:rPr>
                <w:rFonts w:hint="eastAsia" w:ascii="宋体" w:hAnsi="宋体" w:cs="宋体"/>
                <w:bCs/>
                <w:color w:val="auto"/>
                <w:sz w:val="18"/>
                <w:szCs w:val="18"/>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lang w:val="en-US" w:eastAsia="zh-CN"/>
              </w:rPr>
              <w:t>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隧道风机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lang w:val="en-US" w:eastAsia="zh-CN"/>
              </w:rPr>
              <w:t>9</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注浆泵</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10</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潜孔钻</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自行式仰拱栈桥</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吊车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r>
              <w:rPr>
                <w:rFonts w:hint="eastAsia" w:ascii="宋体" w:hAnsi="宋体" w:eastAsia="宋体" w:cs="宋体"/>
                <w:color w:val="auto"/>
                <w:sz w:val="18"/>
                <w:szCs w:val="18"/>
                <w:highlight w:val="none"/>
              </w:rPr>
              <w:t>25T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spacing w:before="24" w:beforeLines="0" w:afterLines="0"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6"/>
              <w:spacing w:before="24" w:beforeLines="0" w:afterLines="0" w:line="400" w:lineRule="exact"/>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龙门吊</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r>
              <w:rPr>
                <w:rFonts w:hint="eastAsia" w:ascii="宋体" w:hAnsi="宋体" w:eastAsia="宋体" w:cs="宋体"/>
                <w:color w:val="auto"/>
                <w:sz w:val="18"/>
                <w:szCs w:val="18"/>
                <w:highlight w:val="none"/>
              </w:rPr>
              <w:t>10T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spacing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6"/>
              <w:spacing w:line="400" w:lineRule="exact"/>
              <w:ind w:firstLine="360" w:firstLineChars="200"/>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数控钢筋笼焊机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数控钢筋锯切套丝生产线（锯切、镦粗、打磨、套丝）</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全自动数控钢筋弯箍机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立式数控钢筋弯曲中心</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平板车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cs="宋体"/>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r>
        <w:rPr>
          <w:rFonts w:hint="eastAsia"/>
          <w:color w:val="auto"/>
          <w:sz w:val="18"/>
          <w:szCs w:val="18"/>
          <w:highlight w:val="none"/>
          <w:lang w:val="en-US" w:eastAsia="zh-CN"/>
        </w:rPr>
        <w:t>2、本表中的总数量为承包人中标后向发包人承诺的投入最低设备要求，并以书面形式纳入合同附件。</w:t>
      </w:r>
    </w:p>
    <w:p/>
    <w:p/>
    <w:p/>
    <w:p/>
    <w:p/>
    <w:p/>
    <w:p>
      <w:pPr>
        <w:rPr>
          <w:color w:val="auto"/>
          <w:highlight w:val="none"/>
        </w:rPr>
      </w:pPr>
    </w:p>
    <w:p>
      <w:bookmarkStart w:id="0" w:name="_GoBack"/>
      <w:bookmarkEnd w:id="0"/>
    </w:p>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kFCu0BAAC6AwAADgAAAGRycy9lMm9Eb2MueG1srVPNjtMwEL4j8Q6W&#10;7zRpDlCipqtlV0VIy4+08ACO4yQWiccau03KA8AbcOLCfZ+rz8HYabrL7g1xscYz42+++Wa8vhj7&#10;ju0VOg2m4MtFypkyEiptmoJ/+bx9seLMeWEq0YFRBT8oxy82z5+tB5urDFroKoWMQIzLB1vw1nub&#10;J4mTreqFW4BVhoI1YC88XbFJKhQDofddkqXpy2QArCyCVM6R93oK8k3Er2sl/ce6dsqzruDEzccT&#10;41mGM9msRd6gsK2WJxriH1j0Qhsqeoa6Fl6wHeonUL2WCA5qv5DQJ1DXWqrYA3WzTB91c9sKq2Iv&#10;JI6zZ5nc/4OVH/afkOmq4NlrzozoaUbHnz+Ov+6Ov7+zLH21ChIN1uWUeWsp149vYKRRx3advQH5&#10;1TEDV60wjbpEhKFVoiKKy/AyefB0wnEBpBzeQ0WlxM5DBBpr7IN+pAgjdBrV4TweNXomQ8lVtlql&#10;FJIUmy+hhsjn5xadf6ugZ8EoONL8I7zY3zg/pc4poZqBre468ou8M385CDN4Iv3AeOLux3Kk7NBT&#10;CdWBGkGYVoq+ABkt4DfOBlqnghvad866d4akCJs3Gzgb5WwII+lhwT1nk3nlpw3dWdRNS7iz2Jck&#10;11bHRu45nFjSgkQpTsscNvDhPWbdf7n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BpaQUK&#10;7QEAALoDAAAOAAAAAAAAAAEAIAAAAB4BAABkcnMvZTJvRG9jLnhtbFBLBQYAAAAABgAGAFkBAAB9&#10;BQ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744AF0"/>
    <w:rsid w:val="28744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unhideWhenUsed/>
    <w:qFormat/>
    <w:uiPriority w:val="0"/>
    <w:pPr>
      <w:keepNext/>
      <w:keepLines/>
      <w:spacing w:before="260" w:after="260" w:line="413" w:lineRule="auto"/>
      <w:outlineLvl w:val="2"/>
    </w:pPr>
    <w:rPr>
      <w:b/>
      <w:bCs/>
      <w:sz w:val="32"/>
      <w:szCs w:val="32"/>
    </w:rPr>
  </w:style>
  <w:style w:type="paragraph" w:styleId="6">
    <w:name w:val="heading 4"/>
    <w:basedOn w:val="1"/>
    <w:next w:val="1"/>
    <w:unhideWhenUsed/>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unhideWhenUsed/>
    <w:qFormat/>
    <w:uiPriority w:val="0"/>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unhideWhenUsed/>
    <w:qFormat/>
    <w:uiPriority w:val="0"/>
    <w:pPr>
      <w:ind w:left="152"/>
      <w:outlineLvl w:val="6"/>
    </w:pPr>
    <w:rPr>
      <w:rFonts w:ascii="Microsoft JhengHei" w:hAnsi="Microsoft JhengHei" w:eastAsia="Microsoft JhengHei"/>
      <w:b/>
      <w:bCs/>
      <w:szCs w:val="21"/>
    </w:rPr>
  </w:style>
  <w:style w:type="paragraph" w:styleId="9">
    <w:name w:val="heading 9"/>
    <w:basedOn w:val="1"/>
    <w:next w:val="1"/>
    <w:unhideWhenUsed/>
    <w:qFormat/>
    <w:uiPriority w:val="0"/>
    <w:pPr>
      <w:spacing w:before="43"/>
      <w:ind w:right="97"/>
      <w:outlineLvl w:val="8"/>
    </w:pPr>
    <w:rPr>
      <w:rFonts w:ascii="黑体" w:hAnsi="黑体" w:eastAsia="黑体" w:cs="黑体"/>
      <w:sz w:val="32"/>
      <w:szCs w:val="32"/>
      <w:lang w:val="zh-CN" w:bidi="zh-CN"/>
    </w:rPr>
  </w:style>
  <w:style w:type="character" w:default="1" w:styleId="14">
    <w:name w:val="Default Paragraph Font"/>
    <w:semiHidden/>
    <w:uiPriority w:val="0"/>
  </w:style>
  <w:style w:type="table" w:default="1" w:styleId="15">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0">
    <w:name w:val="Body Text"/>
    <w:basedOn w:val="1"/>
    <w:uiPriority w:val="0"/>
    <w:pPr>
      <w:spacing w:after="120"/>
    </w:pPr>
    <w:rPr>
      <w:szCs w:val="24"/>
    </w:rPr>
  </w:style>
  <w:style w:type="paragraph" w:styleId="11">
    <w:name w:val="Plain Text"/>
    <w:basedOn w:val="1"/>
    <w:uiPriority w:val="0"/>
    <w:rPr>
      <w:rFonts w:ascii="宋体" w:hAnsi="Courier New"/>
      <w:szCs w:val="21"/>
    </w:rPr>
  </w:style>
  <w:style w:type="paragraph" w:styleId="12">
    <w:name w:val="footer"/>
    <w:basedOn w:val="1"/>
    <w:uiPriority w:val="0"/>
    <w:pPr>
      <w:tabs>
        <w:tab w:val="center" w:pos="4153"/>
        <w:tab w:val="right" w:pos="8306"/>
      </w:tabs>
      <w:snapToGrid w:val="0"/>
      <w:jc w:val="left"/>
    </w:pPr>
    <w:rPr>
      <w:sz w:val="18"/>
      <w:szCs w:val="18"/>
    </w:rPr>
  </w:style>
  <w:style w:type="paragraph" w:styleId="13">
    <w:name w:val="Normal (Web)"/>
    <w:basedOn w:val="1"/>
    <w:uiPriority w:val="0"/>
    <w:pPr>
      <w:widowControl/>
      <w:spacing w:before="100" w:beforeAutospacing="1" w:after="100" w:afterAutospacing="1"/>
      <w:ind w:firstLine="360"/>
      <w:jc w:val="left"/>
    </w:pPr>
    <w:rPr>
      <w:rFonts w:ascii="宋体" w:hAnsi="宋体" w:cs="宋体"/>
      <w:kern w:val="0"/>
      <w:sz w:val="24"/>
      <w:lang w:eastAsia="en-US"/>
    </w:rPr>
  </w:style>
  <w:style w:type="paragraph" w:customStyle="1" w:styleId="16">
    <w:name w:val="Table Paragraph"/>
    <w:basedOn w:val="1"/>
    <w:qFormat/>
    <w:uiPriority w:val="1"/>
    <w:rPr>
      <w:rFonts w:ascii="宋体" w:hAnsi="宋体" w:cs="宋体"/>
      <w:lang w:val="zh-CN" w:bidi="zh-CN"/>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p0"/>
    <w:basedOn w:val="1"/>
    <w:qFormat/>
    <w:uiPriority w:val="99"/>
    <w:pPr>
      <w:widowControl/>
      <w:jc w:val="left"/>
    </w:pPr>
    <w:rPr>
      <w:rFonts w:cs="宋体"/>
      <w:kern w:val="0"/>
      <w:szCs w:val="21"/>
    </w:rPr>
  </w:style>
  <w:style w:type="paragraph" w:customStyle="1" w:styleId="19">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2</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2020-05-12T07:28:00Z</dcterms:created>
  <dc:creator>钟明娟</dc:creator>
  <cp:lastModifiedBy>钟明娟</cp:lastModifiedBy>
  <dcterms:modified xsi:type="dcterms:W3CDTF">2020-05-12T07:31:04Z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