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久马高速公路</w:t>
      </w:r>
      <w:r>
        <w:rPr>
          <w:rFonts w:hint="eastAsia" w:cs="仿宋"/>
          <w:b/>
          <w:bCs/>
          <w:color w:val="auto"/>
          <w:sz w:val="32"/>
          <w:szCs w:val="32"/>
          <w:highlight w:val="none"/>
          <w:lang w:val="en-US" w:eastAsia="zh-CN"/>
        </w:rPr>
        <w:t>C2总包部</w:t>
      </w:r>
      <w:r>
        <w:rPr>
          <w:rFonts w:hint="eastAsia" w:cs="仿宋"/>
          <w:b/>
          <w:bCs/>
          <w:color w:val="auto"/>
          <w:sz w:val="32"/>
          <w:szCs w:val="32"/>
          <w:highlight w:val="none"/>
          <w:lang w:eastAsia="zh-CN"/>
        </w:rPr>
        <w:t>土建工程劳务合作分段</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p>
      <w:pPr>
        <w:pStyle w:val="2"/>
        <w:ind w:firstLine="0"/>
        <w:jc w:val="both"/>
        <w:rPr>
          <w:rFonts w:hint="eastAsia" w:ascii="仿宋" w:hAnsi="仿宋" w:eastAsia="仿宋" w:cs="仿宋"/>
          <w:b/>
          <w:bCs/>
          <w:color w:val="auto"/>
          <w:sz w:val="32"/>
          <w:szCs w:val="32"/>
          <w:highlight w:val="none"/>
          <w:lang w:eastAsia="zh-CN"/>
        </w:rPr>
      </w:pPr>
    </w:p>
    <w:tbl>
      <w:tblPr>
        <w:tblStyle w:val="15"/>
        <w:tblW w:w="14538" w:type="dxa"/>
        <w:tblInd w:w="0" w:type="dxa"/>
        <w:tblLayout w:type="fixed"/>
        <w:tblCellMar>
          <w:top w:w="0" w:type="dxa"/>
          <w:left w:w="0" w:type="dxa"/>
          <w:bottom w:w="0" w:type="dxa"/>
          <w:right w:w="0" w:type="dxa"/>
        </w:tblCellMar>
      </w:tblPr>
      <w:tblGrid>
        <w:gridCol w:w="649"/>
        <w:gridCol w:w="675"/>
        <w:gridCol w:w="1720"/>
        <w:gridCol w:w="884"/>
        <w:gridCol w:w="2226"/>
        <w:gridCol w:w="1709"/>
        <w:gridCol w:w="1133"/>
        <w:gridCol w:w="1667"/>
        <w:gridCol w:w="2692"/>
        <w:gridCol w:w="1183"/>
      </w:tblGrid>
      <w:tr>
        <w:tblPrEx>
          <w:tblLayout w:type="fixed"/>
          <w:tblCellMar>
            <w:top w:w="0" w:type="dxa"/>
            <w:left w:w="0" w:type="dxa"/>
            <w:bottom w:w="0" w:type="dxa"/>
            <w:right w:w="0" w:type="dxa"/>
          </w:tblCellMar>
        </w:tblPrEx>
        <w:trPr>
          <w:trHeight w:val="574"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72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88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6735"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协作内容</w:t>
            </w:r>
          </w:p>
        </w:tc>
        <w:tc>
          <w:tcPr>
            <w:tcW w:w="26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11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97"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2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88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26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2189"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TJ</w:t>
            </w:r>
            <w:r>
              <w:rPr>
                <w:rFonts w:hint="eastAsia" w:ascii="宋体" w:hAnsi="宋体" w:cs="宋体"/>
                <w:color w:val="auto"/>
                <w:kern w:val="0"/>
                <w:sz w:val="18"/>
                <w:szCs w:val="18"/>
                <w:highlight w:val="none"/>
                <w:lang w:val="en-US" w:eastAsia="zh-CN" w:bidi="ar"/>
              </w:rPr>
              <w:t>5</w:t>
            </w:r>
            <w:r>
              <w:rPr>
                <w:rFonts w:hint="eastAsia"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w:t>
            </w:r>
          </w:p>
        </w:tc>
        <w:tc>
          <w:tcPr>
            <w:tcW w:w="1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ZK92+472～ZK93+995</w:t>
            </w:r>
          </w:p>
          <w:p>
            <w:pPr>
              <w:pStyle w:val="2"/>
              <w:ind w:left="0" w:leftChars="0" w:firstLine="0" w:firstLineChars="0"/>
              <w:jc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K92+440～K194+002</w:t>
            </w:r>
          </w:p>
          <w:p>
            <w:pPr>
              <w:keepNext w:val="0"/>
              <w:keepLines w:val="0"/>
              <w:widowControl/>
              <w:suppressLineNumbers w:val="0"/>
              <w:jc w:val="center"/>
              <w:rPr>
                <w:rFonts w:hint="eastAsia"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ZK89+525 ZK90+264</w:t>
            </w:r>
          </w:p>
          <w:p>
            <w:pPr>
              <w:keepNext w:val="0"/>
              <w:keepLines w:val="0"/>
              <w:widowControl/>
              <w:suppressLineNumbers w:val="0"/>
              <w:jc w:val="center"/>
              <w:rPr>
                <w:rFonts w:hint="eastAsia"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K89+540</w:t>
            </w:r>
            <w:r>
              <w:rPr>
                <w:rFonts w:hint="eastAsia" w:ascii="宋体" w:hAnsi="宋体" w:eastAsia="宋体" w:cs="宋体"/>
                <w:color w:val="auto"/>
                <w:kern w:val="0"/>
                <w:sz w:val="18"/>
                <w:szCs w:val="18"/>
                <w:highlight w:val="none"/>
                <w:lang w:val="en-US" w:eastAsia="zh-CN" w:bidi="ar"/>
              </w:rPr>
              <w:t xml:space="preserve">～ </w:t>
            </w:r>
            <w:r>
              <w:rPr>
                <w:rFonts w:hint="default" w:ascii="宋体" w:hAnsi="宋体" w:eastAsia="宋体" w:cs="宋体"/>
                <w:color w:val="auto"/>
                <w:kern w:val="0"/>
                <w:sz w:val="18"/>
                <w:szCs w:val="18"/>
                <w:highlight w:val="none"/>
                <w:lang w:val="en-US" w:eastAsia="zh-CN" w:bidi="ar"/>
              </w:rPr>
              <w:t>K90+230</w:t>
            </w:r>
          </w:p>
          <w:p>
            <w:pPr>
              <w:pStyle w:val="2"/>
              <w:ind w:left="0" w:leftChars="0" w:firstLine="0" w:firstLineChars="0"/>
              <w:jc w:val="center"/>
              <w:rPr>
                <w:rFonts w:hint="eastAsia" w:ascii="宋体" w:hAnsi="宋体" w:cs="宋体"/>
                <w:color w:val="auto"/>
                <w:kern w:val="0"/>
                <w:sz w:val="18"/>
                <w:szCs w:val="18"/>
                <w:highlight w:val="none"/>
                <w:lang w:bidi="ar"/>
              </w:rPr>
            </w:pPr>
          </w:p>
        </w:tc>
        <w:tc>
          <w:tcPr>
            <w:tcW w:w="8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w:t>
            </w:r>
            <w:r>
              <w:rPr>
                <w:rFonts w:hint="eastAsia" w:ascii="宋体" w:hAnsi="宋体" w:cs="宋体"/>
                <w:color w:val="auto"/>
                <w:kern w:val="0"/>
                <w:sz w:val="18"/>
                <w:szCs w:val="18"/>
                <w:highlight w:val="none"/>
                <w:lang w:val="en-US" w:eastAsia="zh-CN" w:bidi="ar"/>
              </w:rPr>
              <w:t>281</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冻则柯隧道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（73</w:t>
            </w:r>
            <w:r>
              <w:rPr>
                <w:rFonts w:hint="eastAsia" w:ascii="宋体" w:hAnsi="宋体" w:cs="宋体"/>
                <w:color w:val="auto"/>
                <w:kern w:val="0"/>
                <w:sz w:val="18"/>
                <w:szCs w:val="18"/>
                <w:highlight w:val="none"/>
                <w:lang w:val="en-US" w:eastAsia="zh-CN" w:bidi="ar"/>
              </w:rPr>
              <w:t>9</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冻则柯隧道</w:t>
            </w:r>
            <w:r>
              <w:rPr>
                <w:rFonts w:hint="eastAsia" w:ascii="宋体" w:hAnsi="宋体" w:cs="宋体"/>
                <w:color w:val="auto"/>
                <w:kern w:val="0"/>
                <w:sz w:val="18"/>
                <w:szCs w:val="18"/>
                <w:highlight w:val="none"/>
                <w:lang w:val="en-US" w:eastAsia="zh-CN" w:bidi="ar"/>
              </w:rPr>
              <w:t>右线</w:t>
            </w:r>
            <w:r>
              <w:rPr>
                <w:rFonts w:hint="eastAsia"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690</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然木多1#隧道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（15</w:t>
            </w:r>
            <w:r>
              <w:rPr>
                <w:rFonts w:hint="eastAsia" w:ascii="宋体" w:hAnsi="宋体" w:cs="宋体"/>
                <w:color w:val="auto"/>
                <w:kern w:val="0"/>
                <w:sz w:val="18"/>
                <w:szCs w:val="18"/>
                <w:highlight w:val="none"/>
                <w:lang w:val="en-US" w:eastAsia="zh-CN" w:bidi="ar"/>
              </w:rPr>
              <w:t>42</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p>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然木多1#隧道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（15</w:t>
            </w:r>
            <w:r>
              <w:rPr>
                <w:rFonts w:hint="eastAsia" w:ascii="宋体" w:hAnsi="宋体" w:cs="宋体"/>
                <w:color w:val="auto"/>
                <w:kern w:val="0"/>
                <w:sz w:val="18"/>
                <w:szCs w:val="18"/>
                <w:highlight w:val="none"/>
                <w:lang w:val="en-US" w:eastAsia="zh-CN" w:bidi="ar"/>
              </w:rPr>
              <w:t>62</w:t>
            </w:r>
            <w:r>
              <w:rPr>
                <w:rFonts w:hint="eastAsia" w:ascii="宋体" w:hAnsi="宋体" w:cs="宋体"/>
                <w:color w:val="auto"/>
                <w:kern w:val="0"/>
                <w:sz w:val="18"/>
                <w:szCs w:val="18"/>
                <w:highlight w:val="none"/>
                <w:lang w:bidi="ar"/>
              </w:rPr>
              <w:t>m）</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该段所有隧道</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民工驻地、施工便道、钢筋加工运输</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36</w:t>
            </w:r>
          </w:p>
        </w:tc>
      </w:tr>
    </w:tbl>
    <w:p>
      <w:pPr>
        <w:pStyle w:val="2"/>
        <w:jc w:val="both"/>
        <w:rPr>
          <w:rFonts w:hint="eastAsia" w:ascii="仿宋" w:hAnsi="仿宋" w:eastAsia="仿宋" w:cs="仿宋"/>
          <w:b/>
          <w:bCs/>
          <w:color w:val="auto"/>
          <w:sz w:val="32"/>
          <w:szCs w:val="32"/>
          <w:highlight w:val="none"/>
          <w:lang w:eastAsia="zh-CN"/>
        </w:rPr>
      </w:pPr>
    </w:p>
    <w:p>
      <w:pPr>
        <w:pStyle w:val="2"/>
        <w:rPr>
          <w:color w:val="auto"/>
          <w:highlight w:val="none"/>
        </w:rPr>
      </w:pPr>
    </w:p>
    <w:p>
      <w:pPr>
        <w:pStyle w:val="2"/>
        <w:rPr>
          <w:color w:val="auto"/>
          <w:highlight w:val="none"/>
        </w:rPr>
      </w:pPr>
    </w:p>
    <w:p>
      <w:pPr>
        <w:pStyle w:val="2"/>
        <w:rPr>
          <w:color w:val="auto"/>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ind w:firstLine="0"/>
        <w:jc w:val="both"/>
        <w:rPr>
          <w:rFonts w:hint="eastAsia" w:cs="仿宋"/>
          <w:b/>
          <w:bCs/>
          <w:color w:val="auto"/>
          <w:sz w:val="32"/>
          <w:szCs w:val="32"/>
          <w:highlight w:val="none"/>
        </w:rPr>
      </w:pPr>
    </w:p>
    <w:p>
      <w:pPr>
        <w:jc w:val="left"/>
        <w:rPr>
          <w:rFonts w:hint="eastAsia" w:ascii="宋体" w:hAnsi="宋体" w:eastAsia="宋体" w:cs="宋体"/>
          <w:b/>
          <w:color w:val="auto"/>
          <w:sz w:val="28"/>
          <w:szCs w:val="28"/>
          <w:highlight w:val="none"/>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久马高速公路土建工程</w:t>
      </w: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15"/>
        <w:tblW w:w="13737" w:type="dxa"/>
        <w:tblInd w:w="0" w:type="dxa"/>
        <w:tblLayout w:type="fixed"/>
        <w:tblCellMar>
          <w:top w:w="0" w:type="dxa"/>
          <w:left w:w="0" w:type="dxa"/>
          <w:bottom w:w="0" w:type="dxa"/>
          <w:right w:w="0" w:type="dxa"/>
        </w:tblCellMar>
      </w:tblPr>
      <w:tblGrid>
        <w:gridCol w:w="1070"/>
        <w:gridCol w:w="2787"/>
        <w:gridCol w:w="2235"/>
        <w:gridCol w:w="3088"/>
        <w:gridCol w:w="3363"/>
        <w:gridCol w:w="1194"/>
      </w:tblGrid>
      <w:tr>
        <w:tblPrEx>
          <w:tblLayout w:type="fixed"/>
          <w:tblCellMar>
            <w:top w:w="0" w:type="dxa"/>
            <w:left w:w="0" w:type="dxa"/>
            <w:bottom w:w="0" w:type="dxa"/>
            <w:right w:w="0" w:type="dxa"/>
          </w:tblCellMar>
        </w:tblPrEx>
        <w:trPr>
          <w:trHeight w:val="1023" w:hRule="atLeast"/>
        </w:trPr>
        <w:tc>
          <w:tcPr>
            <w:tcW w:w="10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2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6"/>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3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6"/>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1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880" w:hRule="atLeast"/>
        </w:trPr>
        <w:tc>
          <w:tcPr>
            <w:tcW w:w="10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TJ5-6</w:t>
            </w:r>
          </w:p>
        </w:tc>
        <w:tc>
          <w:tcPr>
            <w:tcW w:w="22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隧道</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具有住房和城乡建设部颁发的</w:t>
            </w:r>
            <w:r>
              <w:rPr>
                <w:rFonts w:hint="eastAsia" w:ascii="宋体" w:hAnsi="宋体" w:eastAsia="宋体" w:cs="宋体"/>
                <w:color w:val="auto"/>
                <w:sz w:val="18"/>
                <w:szCs w:val="18"/>
                <w:highlight w:val="none"/>
              </w:rPr>
              <w:t>施工</w:t>
            </w:r>
            <w:r>
              <w:rPr>
                <w:rFonts w:hint="eastAsia" w:ascii="宋体" w:hAnsi="宋体" w:eastAsia="宋体" w:cs="宋体"/>
                <w:color w:val="auto"/>
                <w:sz w:val="18"/>
                <w:szCs w:val="18"/>
                <w:highlight w:val="none"/>
                <w:lang w:eastAsia="zh-CN"/>
              </w:rPr>
              <w:t>劳务资质或公路工程施工</w:t>
            </w:r>
            <w:r>
              <w:rPr>
                <w:rFonts w:hint="eastAsia" w:ascii="宋体" w:hAnsi="宋体" w:eastAsia="宋体" w:cs="宋体"/>
                <w:color w:val="auto"/>
                <w:sz w:val="18"/>
                <w:szCs w:val="18"/>
                <w:highlight w:val="none"/>
              </w:rPr>
              <w:t>总承包三级及以上资质</w:t>
            </w:r>
          </w:p>
        </w:tc>
        <w:tc>
          <w:tcPr>
            <w:tcW w:w="33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）同时具有</w:t>
            </w:r>
            <w:r>
              <w:rPr>
                <w:rFonts w:hint="eastAsia" w:ascii="宋体" w:hAnsi="宋体" w:cs="宋体"/>
                <w:color w:val="auto"/>
                <w:sz w:val="18"/>
                <w:szCs w:val="18"/>
                <w:highlight w:val="none"/>
                <w:lang w:eastAsia="zh-CN"/>
              </w:rPr>
              <w:t>海拔</w:t>
            </w:r>
            <w:r>
              <w:rPr>
                <w:rFonts w:hint="eastAsia" w:ascii="宋体" w:hAnsi="宋体" w:cs="宋体"/>
                <w:color w:val="auto"/>
                <w:sz w:val="18"/>
                <w:szCs w:val="18"/>
                <w:highlight w:val="none"/>
                <w:lang w:val="en-US" w:eastAsia="zh-CN"/>
              </w:rPr>
              <w:t>2000米以上</w:t>
            </w:r>
            <w:r>
              <w:rPr>
                <w:rFonts w:hint="eastAsia" w:ascii="宋体" w:hAnsi="宋体" w:eastAsia="宋体" w:cs="宋体"/>
                <w:color w:val="auto"/>
                <w:sz w:val="18"/>
                <w:szCs w:val="18"/>
                <w:highlight w:val="none"/>
              </w:rPr>
              <w:t>隧道</w:t>
            </w:r>
            <w:r>
              <w:rPr>
                <w:rFonts w:hint="eastAsia" w:ascii="宋体" w:hAnsi="宋体" w:eastAsia="宋体" w:cs="宋体"/>
                <w:color w:val="auto"/>
                <w:sz w:val="18"/>
                <w:szCs w:val="18"/>
                <w:highlight w:val="none"/>
                <w:lang w:eastAsia="zh-CN"/>
              </w:rPr>
              <w:t>工程</w:t>
            </w:r>
            <w:r>
              <w:rPr>
                <w:rFonts w:hint="eastAsia" w:ascii="宋体" w:hAnsi="宋体" w:cs="宋体"/>
                <w:color w:val="auto"/>
                <w:sz w:val="18"/>
                <w:szCs w:val="18"/>
                <w:highlight w:val="none"/>
              </w:rPr>
              <w:t>施工业绩</w:t>
            </w:r>
          </w:p>
        </w:tc>
        <w:tc>
          <w:tcPr>
            <w:tcW w:w="11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17"/>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15"/>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投入人员配置表(最低要求）</w:t>
            </w:r>
          </w:p>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适用于TJ5-6</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p>
      <w:pPr>
        <w:pStyle w:val="17"/>
        <w:tabs>
          <w:tab w:val="right" w:leader="dot" w:pos="8306"/>
        </w:tabs>
        <w:jc w:val="center"/>
        <w:rPr>
          <w:rFonts w:ascii="等线" w:hAnsi="等线" w:eastAsia="等线" w:cs="等线"/>
          <w:b/>
          <w:bCs/>
          <w:color w:val="auto"/>
          <w:sz w:val="28"/>
          <w:szCs w:val="28"/>
          <w:highlight w:val="none"/>
          <w:lang w:bidi="zh-CN"/>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pStyle w:val="2"/>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cs="仿宋"/>
          <w:b/>
          <w:color w:val="auto"/>
          <w:sz w:val="28"/>
          <w:szCs w:val="28"/>
          <w:highlight w:val="none"/>
          <w:u w:val="none"/>
          <w:lang w:val="en-US" w:eastAsia="zh-CN" w:bidi="ar"/>
        </w:rPr>
        <w:t>TJ</w:t>
      </w:r>
      <w:r>
        <w:rPr>
          <w:rFonts w:hint="eastAsia" w:cs="仿宋"/>
          <w:b/>
          <w:color w:val="auto"/>
          <w:sz w:val="28"/>
          <w:szCs w:val="28"/>
          <w:highlight w:val="none"/>
          <w:u w:val="none"/>
          <w:lang w:val="en-US" w:eastAsia="zh-CN" w:bidi="ar"/>
        </w:rPr>
        <w:t>5-6</w:t>
      </w:r>
      <w:r>
        <w:rPr>
          <w:rFonts w:hint="eastAsia" w:cs="仿宋"/>
          <w:b/>
          <w:color w:val="auto"/>
          <w:kern w:val="0"/>
          <w:sz w:val="28"/>
          <w:szCs w:val="28"/>
          <w:highlight w:val="none"/>
          <w:u w:val="none"/>
          <w:lang w:eastAsia="zh-CN" w:bidi="ar"/>
        </w:rPr>
        <w:t>分段</w:t>
      </w:r>
    </w:p>
    <w:tbl>
      <w:tblPr>
        <w:tblStyle w:val="15"/>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left="0" w:right="0"/>
              <w:jc w:val="center"/>
              <w:rPr>
                <w:rFonts w:hint="eastAsia" w:eastAsia="宋体"/>
                <w:color w:val="auto"/>
                <w:sz w:val="18"/>
                <w:szCs w:val="18"/>
                <w:highlight w:val="none"/>
                <w:lang w:eastAsia="zh-CN"/>
              </w:rPr>
            </w:pPr>
            <w:r>
              <w:rPr>
                <w:rFonts w:hint="eastAsia"/>
                <w:color w:val="auto"/>
                <w:sz w:val="18"/>
                <w:szCs w:val="18"/>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left="0"/>
              <w:jc w:val="center"/>
              <w:rPr>
                <w:rFonts w:hint="eastAsia"/>
                <w:color w:val="auto"/>
                <w:sz w:val="18"/>
                <w:szCs w:val="18"/>
                <w:highlight w:val="none"/>
              </w:rPr>
            </w:pPr>
            <w:r>
              <w:rPr>
                <w:rFonts w:hint="eastAsia"/>
                <w:color w:val="auto"/>
                <w:sz w:val="18"/>
                <w:szCs w:val="18"/>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rPr>
            </w:pPr>
            <w:r>
              <w:rPr>
                <w:rFonts w:hint="eastAsia" w:ascii="宋体" w:hAnsi="宋体" w:cs="宋体"/>
                <w:bCs/>
                <w:color w:val="auto"/>
                <w:sz w:val="18"/>
                <w:szCs w:val="18"/>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bidi="ar-SA"/>
              </w:rPr>
            </w:pPr>
            <w:r>
              <w:rPr>
                <w:rFonts w:hint="eastAsia" w:ascii="宋体" w:hAnsi="宋体" w:cs="宋体"/>
                <w:bCs/>
                <w:color w:val="auto"/>
                <w:sz w:val="18"/>
                <w:szCs w:val="18"/>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beforeLines="0" w:afterLines="0" w:line="260" w:lineRule="exact"/>
              <w:ind w:firstLine="180" w:firstLineChars="100"/>
              <w:jc w:val="center"/>
              <w:rPr>
                <w:rFonts w:hint="eastAsia" w:ascii="宋体" w:hAnsi="宋体" w:cs="宋体"/>
                <w:bCs/>
                <w:color w:val="auto"/>
                <w:sz w:val="18"/>
                <w:szCs w:val="18"/>
                <w:highlight w:val="none"/>
                <w:lang w:val="en-US" w:eastAsia="zh-CN" w:bidi="ar-SA"/>
              </w:rPr>
            </w:pPr>
            <w:r>
              <w:rPr>
                <w:rFonts w:hint="eastAsia" w:ascii="宋体" w:hAnsi="宋体" w:cs="宋体"/>
                <w:bCs w:val="0"/>
                <w:color w:val="auto"/>
                <w:sz w:val="18"/>
                <w:szCs w:val="18"/>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18"/>
                <w:szCs w:val="18"/>
                <w:highlight w:val="none"/>
                <w:lang w:val="en-US" w:eastAsia="zh-CN" w:bidi="ar-SA"/>
              </w:rPr>
            </w:pPr>
            <w:r>
              <w:rPr>
                <w:rFonts w:hint="eastAsia" w:ascii="宋体" w:hAnsi="宋体" w:cs="宋体"/>
                <w:color w:val="auto"/>
                <w:sz w:val="18"/>
                <w:szCs w:val="18"/>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cs="宋体"/>
                <w:bCs w:val="0"/>
                <w:color w:val="auto"/>
                <w:sz w:val="18"/>
                <w:szCs w:val="18"/>
                <w:highlight w:val="none"/>
                <w:lang w:val="en-US" w:eastAsia="zh-CN" w:bidi="ar-SA"/>
              </w:rPr>
            </w:pPr>
            <w:r>
              <w:rPr>
                <w:rFonts w:hint="eastAsia" w:cs="宋体"/>
                <w:bCs w:val="0"/>
                <w:color w:val="auto"/>
                <w:sz w:val="18"/>
                <w:szCs w:val="18"/>
                <w:highlight w:val="none"/>
                <w:lang w:val="en-US" w:eastAsia="zh-CN"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ascii="宋体" w:hAnsi="宋体" w:cs="宋体"/>
                <w:bCs w:val="0"/>
                <w:color w:val="auto"/>
                <w:sz w:val="18"/>
                <w:szCs w:val="18"/>
                <w:highlight w:val="none"/>
                <w:lang w:val="en-US" w:eastAsia="zh-CN" w:bidi="ar-SA"/>
              </w:rPr>
            </w:pPr>
            <w:r>
              <w:rPr>
                <w:rFonts w:hint="eastAsia" w:cs="宋体"/>
                <w:bCs w:val="0"/>
                <w:color w:val="auto"/>
                <w:sz w:val="18"/>
                <w:szCs w:val="18"/>
                <w:highlight w:val="none"/>
                <w:lang w:val="en-US" w:eastAsia="zh-CN"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ascii="宋体" w:hAnsi="宋体" w:cs="宋体"/>
                <w:bCs w:val="0"/>
                <w:color w:val="auto"/>
                <w:sz w:val="18"/>
                <w:szCs w:val="18"/>
                <w:highlight w:val="none"/>
                <w:lang w:val="en-US" w:eastAsia="zh-CN" w:bidi="ar-SA"/>
              </w:rPr>
            </w:pPr>
            <w:r>
              <w:rPr>
                <w:rFonts w:hint="eastAsia" w:cs="宋体"/>
                <w:bCs w:val="0"/>
                <w:color w:val="auto"/>
                <w:sz w:val="18"/>
                <w:szCs w:val="18"/>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18"/>
                <w:szCs w:val="18"/>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beforeLines="0" w:afterLines="0" w:line="260" w:lineRule="exact"/>
              <w:ind w:firstLine="0" w:firstLineChars="0"/>
              <w:jc w:val="center"/>
              <w:rPr>
                <w:rFonts w:hint="eastAsia" w:ascii="宋体" w:hAnsi="宋体" w:cs="宋体"/>
                <w:bCs/>
                <w:color w:val="auto"/>
                <w:sz w:val="18"/>
                <w:szCs w:val="18"/>
                <w:highlight w:val="none"/>
                <w:lang w:val="en-US" w:eastAsia="zh-CN" w:bidi="ar-SA"/>
              </w:rPr>
            </w:pPr>
            <w:r>
              <w:rPr>
                <w:rFonts w:hint="eastAsia" w:cs="宋体"/>
                <w:bCs w:val="0"/>
                <w:color w:val="auto"/>
                <w:sz w:val="18"/>
                <w:szCs w:val="18"/>
                <w:highlight w:val="none"/>
                <w:lang w:val="en-US" w:eastAsia="zh-CN" w:bidi="ar-SA"/>
              </w:rPr>
              <w:t>总</w:t>
            </w:r>
            <w:r>
              <w:rPr>
                <w:rFonts w:hint="eastAsia" w:ascii="宋体" w:hAnsi="宋体" w:cs="宋体"/>
                <w:bCs w:val="0"/>
                <w:color w:val="auto"/>
                <w:sz w:val="18"/>
                <w:szCs w:val="18"/>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vAlign w:val="center"/>
          </w:tcPr>
          <w:p>
            <w:pPr>
              <w:pStyle w:val="16"/>
              <w:spacing w:beforeLines="0" w:afterLines="0" w:line="260" w:lineRule="exact"/>
              <w:ind w:firstLine="0" w:firstLineChars="0"/>
              <w:jc w:val="center"/>
              <w:rPr>
                <w:rFonts w:hint="eastAsia" w:ascii="宋体" w:hAnsi="宋体" w:cs="宋体"/>
                <w:bCs/>
                <w:color w:val="auto"/>
                <w:sz w:val="18"/>
                <w:szCs w:val="18"/>
                <w:highlight w:val="none"/>
                <w:lang w:val="en-US" w:eastAsia="zh-CN" w:bidi="ar-SA"/>
              </w:rPr>
            </w:pPr>
            <w:r>
              <w:rPr>
                <w:rFonts w:hint="eastAsia" w:ascii="宋体" w:hAnsi="宋体" w:cs="宋体"/>
                <w:bCs w:val="0"/>
                <w:color w:val="auto"/>
                <w:sz w:val="18"/>
                <w:szCs w:val="18"/>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val="en-US"/>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18"/>
                <w:szCs w:val="18"/>
                <w:highlight w:val="none"/>
                <w:lang w:val="en-US"/>
              </w:rPr>
            </w:pPr>
            <w:r>
              <w:rPr>
                <w:rFonts w:hint="eastAsia" w:ascii="宋体" w:hAnsi="宋体" w:cs="宋体"/>
                <w:bCs/>
                <w:color w:val="auto"/>
                <w:sz w:val="18"/>
                <w:szCs w:val="18"/>
                <w:highlight w:val="none"/>
                <w:lang w:val="en-US"/>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1</w:t>
            </w:r>
          </w:p>
        </w:tc>
        <w:tc>
          <w:tcPr>
            <w:tcW w:w="716"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color w:val="auto"/>
                <w:sz w:val="18"/>
                <w:szCs w:val="18"/>
                <w:highlight w:val="none"/>
                <w:lang w:val="en-US" w:eastAsia="zh-CN"/>
              </w:rPr>
              <w:t>2015年1月后</w:t>
            </w:r>
          </w:p>
        </w:tc>
        <w:tc>
          <w:tcPr>
            <w:tcW w:w="12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侧卸式装载机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bCs w:val="0"/>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砼喷射泵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70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18"/>
                <w:szCs w:val="18"/>
                <w:highlight w:val="none"/>
                <w:lang w:val="en-US" w:eastAsia="zh-CN" w:bidi="zh-CN"/>
              </w:rPr>
            </w:pPr>
            <w:r>
              <w:rPr>
                <w:rFonts w:hint="eastAsia" w:ascii="宋体" w:hAnsi="宋体" w:cs="宋体"/>
                <w:bCs w:val="0"/>
                <w:color w:val="auto"/>
                <w:sz w:val="18"/>
                <w:szCs w:val="18"/>
                <w:highlight w:val="none"/>
                <w:lang w:val="en-US" w:eastAsia="zh-CN" w:bidi="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18"/>
                <w:szCs w:val="18"/>
                <w:highlight w:val="none"/>
                <w:lang w:val="en-US" w:eastAsia="zh-CN" w:bidi="zh-CN"/>
              </w:rPr>
            </w:pPr>
            <w:r>
              <w:rPr>
                <w:rFonts w:hint="eastAsia" w:ascii="宋体" w:hAnsi="宋体" w:cs="宋体"/>
                <w:bCs w:val="0"/>
                <w:color w:val="auto"/>
                <w:sz w:val="18"/>
                <w:szCs w:val="18"/>
                <w:highlight w:val="none"/>
                <w:lang w:val="en-US" w:eastAsia="zh-CN" w:bidi="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18"/>
                <w:szCs w:val="18"/>
                <w:highlight w:val="none"/>
                <w:lang w:val="en-US" w:eastAsia="zh-CN" w:bidi="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衬砌台车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12m</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空压机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22</w:t>
            </w:r>
            <w:r>
              <w:rPr>
                <w:rFonts w:hint="eastAsia" w:ascii="宋体" w:hAnsi="宋体" w:cs="宋体"/>
                <w:bCs/>
                <w:color w:val="auto"/>
                <w:sz w:val="18"/>
                <w:szCs w:val="18"/>
                <w:highlight w:val="none"/>
                <w:lang w:eastAsia="zh-CN"/>
              </w:rPr>
              <w:t>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18"/>
                <w:szCs w:val="18"/>
                <w:highlight w:val="none"/>
                <w:lang w:eastAsia="zh-CN"/>
              </w:rPr>
            </w:pPr>
            <w:r>
              <w:rPr>
                <w:rFonts w:hint="eastAsia" w:ascii="宋体" w:hAnsi="宋体" w:cs="宋体"/>
                <w:bCs/>
                <w:color w:val="auto"/>
                <w:sz w:val="18"/>
                <w:szCs w:val="18"/>
                <w:highlight w:val="none"/>
                <w:lang w:eastAsia="zh-CN"/>
              </w:rPr>
              <w:t>发电机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rPr>
            </w:pPr>
            <w:r>
              <w:rPr>
                <w:rFonts w:hint="eastAsia" w:ascii="宋体" w:hAnsi="宋体" w:cs="宋体"/>
                <w:bCs/>
                <w:color w:val="auto"/>
                <w:sz w:val="18"/>
                <w:szCs w:val="18"/>
                <w:highlight w:val="none"/>
              </w:rPr>
              <w:t>200KW</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18"/>
                <w:szCs w:val="18"/>
                <w:highlight w:val="none"/>
                <w:lang w:eastAsia="zh-CN"/>
              </w:rPr>
            </w:pPr>
            <w:r>
              <w:rPr>
                <w:rFonts w:hint="eastAsia" w:ascii="宋体" w:hAnsi="宋体" w:cs="宋体"/>
                <w:bCs/>
                <w:color w:val="auto"/>
                <w:sz w:val="18"/>
                <w:szCs w:val="18"/>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sz w:val="18"/>
                <w:szCs w:val="18"/>
                <w:highlight w:val="none"/>
                <w:lang w:eastAsia="zh-CN"/>
              </w:rPr>
            </w:pPr>
            <w:r>
              <w:rPr>
                <w:rFonts w:hint="eastAsia" w:ascii="宋体" w:hAnsi="宋体" w:cs="宋体"/>
                <w:bCs/>
                <w:color w:val="auto"/>
                <w:sz w:val="18"/>
                <w:szCs w:val="18"/>
                <w:highlight w:val="none"/>
                <w:lang w:eastAsia="zh-CN"/>
              </w:rPr>
              <w:t>自卸车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lang w:eastAsia="zh-CN"/>
              </w:rPr>
              <w:t>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18"/>
                <w:szCs w:val="18"/>
                <w:highlight w:val="none"/>
                <w:lang w:eastAsia="zh-CN"/>
              </w:rPr>
            </w:pPr>
            <w:r>
              <w:rPr>
                <w:rFonts w:hint="eastAsia" w:ascii="宋体" w:hAnsi="宋体" w:cs="宋体"/>
                <w:bCs/>
                <w:color w:val="auto"/>
                <w:sz w:val="18"/>
                <w:szCs w:val="18"/>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隧道风机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eastAsia"/>
                <w:color w:val="auto"/>
                <w:sz w:val="18"/>
                <w:szCs w:val="18"/>
                <w:highlight w:val="none"/>
              </w:rPr>
            </w:pPr>
            <w:r>
              <w:rPr>
                <w:rFonts w:hint="eastAsia"/>
                <w:color w:val="auto"/>
                <w:sz w:val="18"/>
                <w:szCs w:val="18"/>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注浆泵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10</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潜孔钻</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自行式仰拱栈桥</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18"/>
                <w:szCs w:val="18"/>
                <w:highlight w:val="none"/>
                <w:lang w:val="en-US" w:eastAsia="zh-CN" w:bidi="ar-SA"/>
              </w:rPr>
            </w:pPr>
            <w:r>
              <w:rPr>
                <w:rFonts w:hint="eastAsia" w:ascii="宋体" w:hAnsi="宋体" w:cs="宋体"/>
                <w:bCs/>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吊车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r>
              <w:rPr>
                <w:rFonts w:hint="eastAsia" w:ascii="宋体" w:hAnsi="宋体" w:eastAsia="宋体" w:cs="宋体"/>
                <w:color w:val="auto"/>
                <w:sz w:val="18"/>
                <w:szCs w:val="18"/>
                <w:highlight w:val="none"/>
              </w:rPr>
              <w:t>25T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before="24" w:beforeLines="0" w:afterLines="0"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6"/>
              <w:spacing w:before="24" w:beforeLines="0" w:afterLines="0" w:line="400" w:lineRule="exact"/>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cs="宋体"/>
                <w:color w:val="auto"/>
                <w:sz w:val="18"/>
                <w:szCs w:val="18"/>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龙门吊</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r>
              <w:rPr>
                <w:rFonts w:hint="eastAsia" w:ascii="宋体" w:hAnsi="宋体" w:eastAsia="宋体" w:cs="宋体"/>
                <w:color w:val="auto"/>
                <w:sz w:val="18"/>
                <w:szCs w:val="18"/>
                <w:highlight w:val="none"/>
              </w:rPr>
              <w:t>10T</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6"/>
              <w:spacing w:line="400" w:lineRule="exact"/>
              <w:ind w:firstLine="360" w:firstLineChars="200"/>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数控钢筋笼焊机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数控钢筋锯切套丝生产线（锯切、镦粗、打磨、套丝）</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全自动数控钢筋弯箍机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cs="宋体"/>
                <w:bCs/>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立式数控钢筋弯曲中心</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rPr>
            </w:pPr>
            <w:r>
              <w:rPr>
                <w:rFonts w:hint="eastAsia" w:ascii="宋体" w:hAnsi="宋体" w:eastAsia="宋体" w:cs="宋体"/>
                <w:color w:val="auto"/>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6"/>
              <w:kinsoku w:val="0"/>
              <w:overflowPunct w:val="0"/>
              <w:spacing w:beforeLines="0" w:afterLines="0" w:line="260" w:lineRule="exact"/>
              <w:ind w:right="0"/>
              <w:jc w:val="center"/>
              <w:rPr>
                <w:rFonts w:hint="default"/>
                <w:color w:val="auto"/>
                <w:sz w:val="18"/>
                <w:szCs w:val="18"/>
                <w:highlight w:val="none"/>
                <w:lang w:val="en-US" w:eastAsia="zh-CN"/>
              </w:rPr>
            </w:pPr>
            <w:r>
              <w:rPr>
                <w:rFonts w:hint="eastAsia"/>
                <w:color w:val="auto"/>
                <w:sz w:val="18"/>
                <w:szCs w:val="18"/>
                <w:highlight w:val="none"/>
                <w:lang w:val="en-US" w:eastAsia="zh-CN"/>
              </w:rPr>
              <w:t>18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平板车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rPr>
            </w:pPr>
            <w:r>
              <w:rPr>
                <w:rFonts w:hint="eastAsia" w:ascii="宋体" w:hAnsi="宋体" w:cs="宋体"/>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716" w:type="dxa"/>
            <w:vMerge w:val="continue"/>
            <w:tcBorders>
              <w:left w:val="single" w:color="auto"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18"/>
                <w:szCs w:val="18"/>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r>
        <w:rPr>
          <w:rFonts w:hint="eastAsia"/>
          <w:color w:val="auto"/>
          <w:sz w:val="18"/>
          <w:szCs w:val="18"/>
          <w:highlight w:val="none"/>
          <w:lang w:val="en-US" w:eastAsia="zh-CN"/>
        </w:rPr>
        <w:t>2、本表中的总数量为承包人中标后向发包人承诺的投入最低设备要求，并以书面形式纳入合同附件。</w:t>
      </w:r>
    </w:p>
    <w:p/>
    <w:p/>
    <w:p/>
    <w:p/>
    <w:p/>
    <w:p/>
    <w:p>
      <w:pPr>
        <w:rPr>
          <w:color w:val="auto"/>
          <w:highlight w:val="none"/>
        </w:rPr>
      </w:pPr>
    </w:p>
    <w:p>
      <w:bookmarkStart w:id="0" w:name="_GoBack"/>
      <w:bookmarkEnd w:id="0"/>
    </w:p>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8814C7"/>
    <w:rsid w:val="7E881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unhideWhenUsed/>
    <w:qFormat/>
    <w:uiPriority w:val="0"/>
    <w:pPr>
      <w:keepNext/>
      <w:keepLines/>
      <w:spacing w:before="260" w:after="260" w:line="413" w:lineRule="auto"/>
      <w:outlineLvl w:val="2"/>
    </w:pPr>
    <w:rPr>
      <w:b/>
      <w:bCs/>
      <w:sz w:val="32"/>
      <w:szCs w:val="32"/>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unhideWhenUsed/>
    <w:qFormat/>
    <w:uiPriority w:val="0"/>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unhideWhenUsed/>
    <w:qFormat/>
    <w:uiPriority w:val="0"/>
    <w:pPr>
      <w:ind w:left="152"/>
      <w:outlineLvl w:val="6"/>
    </w:pPr>
    <w:rPr>
      <w:rFonts w:ascii="Microsoft JhengHei" w:hAnsi="Microsoft JhengHei" w:eastAsia="Microsoft JhengHei"/>
      <w:b/>
      <w:bCs/>
      <w:szCs w:val="21"/>
    </w:rPr>
  </w:style>
  <w:style w:type="paragraph" w:styleId="9">
    <w:name w:val="heading 9"/>
    <w:basedOn w:val="1"/>
    <w:next w:val="1"/>
    <w:unhideWhenUsed/>
    <w:qFormat/>
    <w:uiPriority w:val="0"/>
    <w:pPr>
      <w:spacing w:before="43"/>
      <w:ind w:right="97"/>
      <w:outlineLvl w:val="8"/>
    </w:pPr>
    <w:rPr>
      <w:rFonts w:ascii="黑体" w:hAnsi="黑体" w:eastAsia="黑体" w:cs="黑体"/>
      <w:sz w:val="32"/>
      <w:szCs w:val="32"/>
      <w:lang w:val="zh-CN" w:bidi="zh-CN"/>
    </w:rPr>
  </w:style>
  <w:style w:type="character" w:default="1" w:styleId="14">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0">
    <w:name w:val="Body Text"/>
    <w:basedOn w:val="1"/>
    <w:uiPriority w:val="0"/>
    <w:pPr>
      <w:spacing w:after="120"/>
    </w:pPr>
    <w:rPr>
      <w:szCs w:val="24"/>
    </w:rPr>
  </w:style>
  <w:style w:type="paragraph" w:styleId="11">
    <w:name w:val="Plain Text"/>
    <w:basedOn w:val="1"/>
    <w:uiPriority w:val="0"/>
    <w:rPr>
      <w:rFonts w:ascii="宋体" w:hAnsi="Courier New"/>
      <w:szCs w:val="21"/>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Normal (Web)"/>
    <w:basedOn w:val="1"/>
    <w:uiPriority w:val="0"/>
    <w:pPr>
      <w:widowControl/>
      <w:spacing w:before="100" w:beforeAutospacing="1" w:after="100" w:afterAutospacing="1"/>
      <w:ind w:firstLine="360"/>
      <w:jc w:val="left"/>
    </w:pPr>
    <w:rPr>
      <w:rFonts w:ascii="宋体" w:hAnsi="宋体" w:cs="宋体"/>
      <w:kern w:val="0"/>
      <w:sz w:val="24"/>
      <w:lang w:eastAsia="en-US"/>
    </w:rPr>
  </w:style>
  <w:style w:type="paragraph" w:customStyle="1" w:styleId="16">
    <w:name w:val="Table Paragraph"/>
    <w:basedOn w:val="1"/>
    <w:qFormat/>
    <w:uiPriority w:val="1"/>
    <w:rPr>
      <w:rFonts w:ascii="宋体" w:hAnsi="宋体" w:cs="宋体"/>
      <w:lang w:val="zh-CN" w:bidi="zh-CN"/>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p0"/>
    <w:basedOn w:val="1"/>
    <w:qFormat/>
    <w:uiPriority w:val="99"/>
    <w:pPr>
      <w:widowControl/>
      <w:jc w:val="left"/>
    </w:pPr>
    <w:rPr>
      <w:rFonts w:cs="宋体"/>
      <w:kern w:val="0"/>
      <w:szCs w:val="21"/>
    </w:rPr>
  </w:style>
  <w:style w:type="paragraph" w:customStyle="1" w:styleId="19">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2020-05-27T01:45:00Z</dcterms:created>
  <dc:creator>钟明娟</dc:creator>
  <cp:lastModifiedBy>钟明娟</cp:lastModifiedBy>
  <dcterms:modified xsi:type="dcterms:W3CDTF">2020-05-27T01:45:32Z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